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600" w:after="160"/>
      </w:pPr>
      <w:r>
        <w:rPr>
          <w:rFonts w:ascii="Calibri" w:hAnsi="Calibri"/>
          <w:b/>
          <w:color w:val="2E74B5"/>
          <w:sz w:val="20"/>
        </w:rPr>
        <w:t>VINMAT PRESENTS</w:t>
      </w:r>
    </w:p>
    <w:p>
      <w:pPr>
        <w:spacing w:after="120"/>
      </w:pPr>
      <w:r>
        <w:rPr>
          <w:rFonts w:ascii="Calibri" w:hAnsi="Calibri"/>
          <w:b/>
          <w:color w:val="18324A"/>
          <w:sz w:val="60"/>
        </w:rPr>
        <w:t>AI FANTASY ADVENTURE</w:t>
      </w:r>
    </w:p>
    <w:p>
      <w:pPr>
        <w:spacing w:after="200"/>
      </w:pPr>
      <w:r>
        <w:rPr>
          <w:rFonts w:ascii="Calibri" w:hAnsi="Calibri"/>
          <w:b/>
          <w:color w:val="2E74B5"/>
          <w:sz w:val="36"/>
        </w:rPr>
        <w:t>Magie a katalog 110 referenčních kouzel</w:t>
      </w:r>
    </w:p>
    <w:p>
      <w:pPr>
        <w:spacing w:after="440"/>
      </w:pPr>
      <w:r>
        <w:rPr>
          <w:rFonts w:ascii="Calibri" w:hAnsi="Calibri"/>
          <w:color w:val="66727E"/>
          <w:sz w:val="22"/>
        </w:rPr>
        <w:t>Finální zdroj pro AI Pána jeskyně Vaelora • verze 1.0 • 19. srpna 2026</w:t>
      </w:r>
    </w:p>
    <w:tbl>
      <w:tblPr>
        <w:tblW w:type="dxa" w:w="9360"/>
        <w:jc w:val="left"/>
        <w:tblLayout w:type="fixed"/>
        <w:tblLook w:firstColumn="1" w:firstRow="1" w:lastColumn="0" w:lastRow="0" w:noHBand="0" w:noVBand="1" w:val="04A0"/>
        <w:tblInd w:w="120" w:type="dxa"/>
        <w:tblBorders>
          <w:top w:val="single" w:sz="5" w:space="0" w:color="7FA37F"/>
          <w:left w:val="single" w:sz="5" w:space="0" w:color="7FA37F"/>
          <w:bottom w:val="single" w:sz="5" w:space="0" w:color="7FA37F"/>
          <w:right w:val="single" w:sz="5" w:space="0" w:color="7FA37F"/>
          <w:insideH w:val="single" w:sz="5" w:space="0" w:color="7FA37F"/>
          <w:insideV w:val="single" w:sz="5" w:space="0" w:color="7FA37F"/>
        </w:tblBorders>
      </w:tblPr>
      <w:tblGrid>
        <w:gridCol w:w="9360"/>
      </w:tblGrid>
      <w:tr>
        <w:tc>
          <w:tcPr>
            <w:tcW w:type="dxa" w:w="9360"/>
            <w:shd w:fill="EAF4EA"/>
            <w:tcMar>
              <w:top w:w="130" w:type="dxa"/>
              <w:start w:w="180" w:type="dxa"/>
              <w:bottom w:w="130" w:type="dxa"/>
              <w:end w:w="180" w:type="dxa"/>
            </w:tcMar>
          </w:tcPr>
          <w:p>
            <w:pPr>
              <w:spacing w:after="0" w:line="288" w:lineRule="auto"/>
            </w:pPr>
            <w:r>
              <w:rPr>
                <w:rFonts w:ascii="Calibri" w:hAnsi="Calibri"/>
                <w:b/>
                <w:color w:val="18324A"/>
                <w:sz w:val="21"/>
              </w:rPr>
              <w:t xml:space="preserve">Výsledek kontroly: </w:t>
            </w:r>
            <w:r>
              <w:rPr>
                <w:rFonts w:ascii="Calibri" w:hAnsi="Calibri"/>
                <w:color w:val="000000"/>
                <w:sz w:val="21"/>
              </w:rPr>
              <w:t>Magie je uzavřena pro základní verzi. Vzorce MÚ/MO, koeficienty, školy, stupnice CH, Min. Levely, znalost a počáteční kouzla, plošné a ovlivňovací účinky, bossové, léčení, soustředění, obranné bonusy i rozhraní s vybavením mají jedno definitivní pravidlo. Katalog obsahuje 110 kouzel a neobsahuje žádnou návrhovou mechaniku.</w:t>
            </w:r>
          </w:p>
        </w:tc>
      </w:tr>
    </w:tbl>
    <w:p>
      <w:pPr>
        <w:spacing w:after="20"/>
      </w:pPr>
    </w:p>
    <w:p>
      <w:pPr>
        <w:spacing w:before="360" w:after="160"/>
      </w:pPr>
      <w:r>
        <w:rPr>
          <w:rFonts w:ascii="Calibri" w:hAnsi="Calibri"/>
          <w:b/>
          <w:color w:val="1F4D78"/>
          <w:sz w:val="26"/>
        </w:rPr>
        <w:t>Obsah</w:t>
      </w:r>
    </w:p>
    <w:p>
      <w:pPr>
        <w:pStyle w:val="ListBullet"/>
        <w:ind w:left="540" w:hanging="271"/>
      </w:pPr>
      <w:r>
        <w:rPr>
          <w:rFonts w:ascii="Calibri" w:hAnsi="Calibri"/>
          <w:color w:val="000000"/>
          <w:sz w:val="21"/>
        </w:rPr>
        <w:t xml:space="preserve"> 1. Přehled škol a ověření stupnice Chytrosti</w:t>
      </w:r>
    </w:p>
    <w:p>
      <w:pPr>
        <w:pStyle w:val="ListBullet"/>
        <w:ind w:left="540" w:hanging="271"/>
      </w:pPr>
      <w:r>
        <w:rPr>
          <w:rFonts w:ascii="Calibri" w:hAnsi="Calibri"/>
          <w:color w:val="000000"/>
          <w:sz w:val="21"/>
        </w:rPr>
        <w:t xml:space="preserve"> 2. Definitivní pravidla a stav společných mechanik</w:t>
      </w:r>
    </w:p>
    <w:p>
      <w:pPr>
        <w:pStyle w:val="ListBullet"/>
        <w:ind w:left="540" w:hanging="271"/>
      </w:pPr>
      <w:r>
        <w:rPr>
          <w:rFonts w:ascii="Calibri" w:hAnsi="Calibri"/>
          <w:color w:val="000000"/>
          <w:sz w:val="21"/>
        </w:rPr>
        <w:t xml:space="preserve"> 3. Katalog 110 kouzel</w:t>
      </w:r>
    </w:p>
    <w:p>
      <w:pPr>
        <w:pStyle w:val="ListBullet"/>
        <w:ind w:left="540" w:hanging="271"/>
      </w:pPr>
      <w:r>
        <w:rPr>
          <w:rFonts w:ascii="Calibri" w:hAnsi="Calibri"/>
          <w:color w:val="000000"/>
          <w:sz w:val="21"/>
        </w:rPr>
        <w:t xml:space="preserve"> 4. Počáteční magie a učení kouzel</w:t>
      </w:r>
    </w:p>
    <w:p>
      <w:pPr>
        <w:pStyle w:val="ListBullet"/>
        <w:ind w:left="540" w:hanging="271"/>
      </w:pPr>
      <w:r>
        <w:rPr>
          <w:rFonts w:ascii="Calibri" w:hAnsi="Calibri"/>
          <w:color w:val="000000"/>
          <w:sz w:val="21"/>
        </w:rPr>
        <w:t xml:space="preserve"> 5. Matematický balancing</w:t>
      </w:r>
    </w:p>
    <w:p>
      <w:pPr>
        <w:pStyle w:val="ListBullet"/>
        <w:ind w:left="540" w:hanging="271"/>
      </w:pPr>
      <w:r>
        <w:rPr>
          <w:rFonts w:ascii="Calibri" w:hAnsi="Calibri"/>
          <w:color w:val="000000"/>
          <w:sz w:val="21"/>
        </w:rPr>
        <w:t xml:space="preserve"> 6. Rozhraní s katalogem vybavení</w:t>
      </w:r>
    </w:p>
    <w:p>
      <w:pPr>
        <w:pStyle w:val="ListBullet"/>
        <w:ind w:left="540" w:hanging="271"/>
      </w:pPr>
      <w:r>
        <w:rPr>
          <w:rFonts w:ascii="Calibri" w:hAnsi="Calibri"/>
          <w:color w:val="000000"/>
          <w:sz w:val="21"/>
        </w:rPr>
        <w:t xml:space="preserve"> 7. Uzavření společných pravidel</w:t>
      </w:r>
    </w:p>
    <w:p>
      <w:pPr>
        <w:pStyle w:val="ListBullet"/>
        <w:ind w:left="540" w:hanging="271"/>
      </w:pPr>
      <w:r>
        <w:rPr>
          <w:rFonts w:ascii="Calibri" w:hAnsi="Calibri"/>
          <w:color w:val="000000"/>
          <w:sz w:val="21"/>
        </w:rPr>
        <w:t xml:space="preserve"> 8. Rychlá reference pro Vaelora</w:t>
      </w:r>
    </w:p>
    <w:p>
      <w:r>
        <w:br w:type="page"/>
      </w:r>
    </w:p>
    <w:p>
      <w:pPr>
        <w:pStyle w:val="Heading1"/>
      </w:pPr>
      <w:r>
        <w:t>1. Přehled škol a ověření stupnice Chytrosti</w:t>
      </w:r>
    </w:p>
    <w:tbl>
      <w:tblPr>
        <w:tblW w:type="dxa" w:w="9360"/>
        <w:jc w:val="left"/>
        <w:tblLayout w:type="fixed"/>
        <w:tblLook w:firstColumn="1" w:firstRow="1" w:lastColumn="0" w:lastRow="0" w:noHBand="0" w:noVBand="1" w:val="04A0"/>
        <w:tblInd w:w="120" w:type="dxa"/>
        <w:tblBorders>
          <w:top w:val="single" w:sz="4" w:space="0" w:color="AAB7C4"/>
          <w:left w:val="single" w:sz="4" w:space="0" w:color="AAB7C4"/>
          <w:bottom w:val="single" w:sz="4" w:space="0" w:color="AAB7C4"/>
          <w:right w:val="single" w:sz="4" w:space="0" w:color="AAB7C4"/>
          <w:insideH w:val="single" w:sz="4" w:space="0" w:color="AAB7C4"/>
          <w:insideV w:val="single" w:sz="4" w:space="0" w:color="AAB7C4"/>
        </w:tblBorders>
      </w:tblPr>
      <w:tblGrid>
        <w:gridCol w:w="2100"/>
        <w:gridCol w:w="7260"/>
      </w:tblGrid>
      <w:tr>
        <w:trPr>
          <w:tblHeader w:val="true"/>
          <w:cantSplit/>
        </w:trPr>
        <w:tc>
          <w:tcPr>
            <w:tcW w:type="dxa" w:w="2100"/>
            <w:shd w:fill="E8EEF5"/>
            <w:tcMar>
              <w:top w:w="80" w:type="dxa"/>
              <w:start w:w="120" w:type="dxa"/>
              <w:bottom w:w="80" w:type="dxa"/>
              <w:end w:w="120" w:type="dxa"/>
            </w:tcMar>
            <w:vAlign w:val="center"/>
          </w:tcPr>
          <w:p>
            <w:pPr>
              <w:spacing w:before="0" w:after="0" w:line="240" w:lineRule="auto"/>
              <w:jc w:val="left"/>
            </w:pPr>
            <w:r>
              <w:rPr>
                <w:rFonts w:ascii="Calibri" w:hAnsi="Calibri"/>
                <w:b/>
                <w:color w:val="18324A"/>
                <w:sz w:val="18"/>
              </w:rPr>
              <w:t>Škola</w:t>
            </w:r>
          </w:p>
        </w:tc>
        <w:tc>
          <w:tcPr>
            <w:tcW w:type="dxa" w:w="7260"/>
            <w:shd w:fill="E8EEF5"/>
            <w:tcMar>
              <w:top w:w="80" w:type="dxa"/>
              <w:start w:w="120" w:type="dxa"/>
              <w:bottom w:w="80" w:type="dxa"/>
              <w:end w:w="120" w:type="dxa"/>
            </w:tcMar>
            <w:vAlign w:val="center"/>
          </w:tcPr>
          <w:p>
            <w:pPr>
              <w:spacing w:before="0" w:after="0" w:line="240" w:lineRule="auto"/>
              <w:jc w:val="left"/>
            </w:pPr>
            <w:r>
              <w:rPr>
                <w:rFonts w:ascii="Calibri" w:hAnsi="Calibri"/>
                <w:b/>
                <w:color w:val="18324A"/>
                <w:sz w:val="18"/>
              </w:rPr>
              <w:t>Vymezení</w:t>
            </w:r>
          </w:p>
        </w:tc>
      </w:tr>
      <w:tr>
        <w:trPr>
          <w:cantSplit/>
        </w:trPr>
        <w:tc>
          <w:tcPr>
            <w:tcW w:type="dxa" w:w="2100"/>
            <w:tcMar>
              <w:top w:w="80" w:type="dxa"/>
              <w:start w:w="120" w:type="dxa"/>
              <w:bottom w:w="80" w:type="dxa"/>
              <w:end w:w="120" w:type="dxa"/>
            </w:tcMar>
            <w:vAlign w:val="center"/>
          </w:tcPr>
          <w:p>
            <w:pPr>
              <w:spacing w:before="0" w:after="0" w:line="252" w:lineRule="auto"/>
              <w:jc w:val="left"/>
            </w:pPr>
            <w:r>
              <w:rPr>
                <w:rFonts w:ascii="Calibri" w:hAnsi="Calibri"/>
                <w:color w:val="000000"/>
                <w:sz w:val="18"/>
              </w:rPr>
              <w:t>Obecná magie</w:t>
            </w:r>
          </w:p>
        </w:tc>
        <w:tc>
          <w:tcPr>
            <w:tcW w:type="dxa" w:w="7260"/>
            <w:tcMar>
              <w:top w:w="80" w:type="dxa"/>
              <w:start w:w="120" w:type="dxa"/>
              <w:bottom w:w="80" w:type="dxa"/>
              <w:end w:w="120" w:type="dxa"/>
            </w:tcMar>
            <w:vAlign w:val="center"/>
          </w:tcPr>
          <w:p>
            <w:pPr>
              <w:spacing w:before="0" w:after="0" w:line="252" w:lineRule="auto"/>
              <w:jc w:val="left"/>
            </w:pPr>
            <w:r>
              <w:rPr>
                <w:rFonts w:ascii="Calibri" w:hAnsi="Calibri"/>
                <w:color w:val="000000"/>
                <w:sz w:val="18"/>
              </w:rPr>
              <w:t>Nejjednodušší praktická kouzla: světlo, drobná manipulace, hledání, opravy a základní ochrana. Není elementální školou.</w:t>
            </w:r>
          </w:p>
        </w:tc>
      </w:tr>
      <w:tr>
        <w:trPr>
          <w:cantSplit/>
        </w:trPr>
        <w:tc>
          <w:tcPr>
            <w:tcW w:type="dxa" w:w="2100"/>
            <w:tcMar>
              <w:top w:w="80" w:type="dxa"/>
              <w:start w:w="120" w:type="dxa"/>
              <w:bottom w:w="80" w:type="dxa"/>
              <w:end w:w="120" w:type="dxa"/>
            </w:tcMar>
            <w:vAlign w:val="center"/>
          </w:tcPr>
          <w:p>
            <w:pPr>
              <w:spacing w:before="0" w:after="0" w:line="252" w:lineRule="auto"/>
              <w:jc w:val="left"/>
            </w:pPr>
            <w:r>
              <w:rPr>
                <w:rFonts w:ascii="Calibri" w:hAnsi="Calibri"/>
                <w:color w:val="000000"/>
                <w:sz w:val="18"/>
              </w:rPr>
              <w:t>Oheň</w:t>
            </w:r>
          </w:p>
        </w:tc>
        <w:tc>
          <w:tcPr>
            <w:tcW w:type="dxa" w:w="7260"/>
            <w:tcMar>
              <w:top w:w="80" w:type="dxa"/>
              <w:start w:w="120" w:type="dxa"/>
              <w:bottom w:w="80" w:type="dxa"/>
              <w:end w:w="120" w:type="dxa"/>
            </w:tcMar>
            <w:vAlign w:val="center"/>
          </w:tcPr>
          <w:p>
            <w:pPr>
              <w:spacing w:before="0" w:after="0" w:line="252" w:lineRule="auto"/>
              <w:jc w:val="left"/>
            </w:pPr>
            <w:r>
              <w:rPr>
                <w:rFonts w:ascii="Calibri" w:hAnsi="Calibri"/>
                <w:color w:val="000000"/>
                <w:sz w:val="18"/>
              </w:rPr>
              <w:t>Oheň, teplo, spalování, kouř a výbuchy. Silná v přímém útoku a v tvorbě překážek.</w:t>
            </w:r>
          </w:p>
        </w:tc>
      </w:tr>
      <w:tr>
        <w:trPr>
          <w:cantSplit/>
        </w:trPr>
        <w:tc>
          <w:tcPr>
            <w:tcW w:type="dxa" w:w="2100"/>
            <w:tcMar>
              <w:top w:w="80" w:type="dxa"/>
              <w:start w:w="120" w:type="dxa"/>
              <w:bottom w:w="80" w:type="dxa"/>
              <w:end w:w="120" w:type="dxa"/>
            </w:tcMar>
            <w:vAlign w:val="center"/>
          </w:tcPr>
          <w:p>
            <w:pPr>
              <w:spacing w:before="0" w:after="0" w:line="252" w:lineRule="auto"/>
              <w:jc w:val="left"/>
            </w:pPr>
            <w:r>
              <w:rPr>
                <w:rFonts w:ascii="Calibri" w:hAnsi="Calibri"/>
                <w:color w:val="000000"/>
                <w:sz w:val="18"/>
              </w:rPr>
              <w:t>Voda</w:t>
            </w:r>
          </w:p>
        </w:tc>
        <w:tc>
          <w:tcPr>
            <w:tcW w:type="dxa" w:w="7260"/>
            <w:tcMar>
              <w:top w:w="80" w:type="dxa"/>
              <w:start w:w="120" w:type="dxa"/>
              <w:bottom w:w="80" w:type="dxa"/>
              <w:end w:w="120" w:type="dxa"/>
            </w:tcMar>
            <w:vAlign w:val="center"/>
          </w:tcPr>
          <w:p>
            <w:pPr>
              <w:spacing w:before="0" w:after="0" w:line="252" w:lineRule="auto"/>
              <w:jc w:val="left"/>
            </w:pPr>
            <w:r>
              <w:rPr>
                <w:rFonts w:ascii="Calibri" w:hAnsi="Calibri"/>
                <w:color w:val="000000"/>
                <w:sz w:val="18"/>
              </w:rPr>
              <w:t>Voda, led a chlad. Kombinuje útok, zpomalení, ochranu a pohyb ve vodním prostředí.</w:t>
            </w:r>
          </w:p>
        </w:tc>
      </w:tr>
      <w:tr>
        <w:trPr>
          <w:cantSplit/>
        </w:trPr>
        <w:tc>
          <w:tcPr>
            <w:tcW w:type="dxa" w:w="2100"/>
            <w:tcMar>
              <w:top w:w="80" w:type="dxa"/>
              <w:start w:w="120" w:type="dxa"/>
              <w:bottom w:w="80" w:type="dxa"/>
              <w:end w:w="120" w:type="dxa"/>
            </w:tcMar>
            <w:vAlign w:val="center"/>
          </w:tcPr>
          <w:p>
            <w:pPr>
              <w:spacing w:before="0" w:after="0" w:line="252" w:lineRule="auto"/>
              <w:jc w:val="left"/>
            </w:pPr>
            <w:r>
              <w:rPr>
                <w:rFonts w:ascii="Calibri" w:hAnsi="Calibri"/>
                <w:color w:val="000000"/>
                <w:sz w:val="18"/>
              </w:rPr>
              <w:t>Vzduch</w:t>
            </w:r>
          </w:p>
        </w:tc>
        <w:tc>
          <w:tcPr>
            <w:tcW w:type="dxa" w:w="7260"/>
            <w:tcMar>
              <w:top w:w="80" w:type="dxa"/>
              <w:start w:w="120" w:type="dxa"/>
              <w:bottom w:w="80" w:type="dxa"/>
              <w:end w:w="120" w:type="dxa"/>
            </w:tcMar>
            <w:vAlign w:val="center"/>
          </w:tcPr>
          <w:p>
            <w:pPr>
              <w:spacing w:before="0" w:after="0" w:line="252" w:lineRule="auto"/>
              <w:jc w:val="left"/>
            </w:pPr>
            <w:r>
              <w:rPr>
                <w:rFonts w:ascii="Calibri" w:hAnsi="Calibri"/>
                <w:color w:val="000000"/>
                <w:sz w:val="18"/>
              </w:rPr>
              <w:t>Vítr, blesky, bouře, levitace, let a teleportace. Teleportace patří sem, nikoli do Hvězdné magie.</w:t>
            </w:r>
          </w:p>
        </w:tc>
      </w:tr>
      <w:tr>
        <w:trPr>
          <w:cantSplit/>
        </w:trPr>
        <w:tc>
          <w:tcPr>
            <w:tcW w:type="dxa" w:w="2100"/>
            <w:tcMar>
              <w:top w:w="80" w:type="dxa"/>
              <w:start w:w="120" w:type="dxa"/>
              <w:bottom w:w="80" w:type="dxa"/>
              <w:end w:w="120" w:type="dxa"/>
            </w:tcMar>
            <w:vAlign w:val="center"/>
          </w:tcPr>
          <w:p>
            <w:pPr>
              <w:spacing w:before="0" w:after="0" w:line="252" w:lineRule="auto"/>
              <w:jc w:val="left"/>
            </w:pPr>
            <w:r>
              <w:rPr>
                <w:rFonts w:ascii="Calibri" w:hAnsi="Calibri"/>
                <w:color w:val="000000"/>
                <w:sz w:val="18"/>
              </w:rPr>
              <w:t>Země</w:t>
            </w:r>
          </w:p>
        </w:tc>
        <w:tc>
          <w:tcPr>
            <w:tcW w:type="dxa" w:w="7260"/>
            <w:tcMar>
              <w:top w:w="80" w:type="dxa"/>
              <w:start w:w="120" w:type="dxa"/>
              <w:bottom w:w="80" w:type="dxa"/>
              <w:end w:w="120" w:type="dxa"/>
            </w:tcMar>
            <w:vAlign w:val="center"/>
          </w:tcPr>
          <w:p>
            <w:pPr>
              <w:spacing w:before="0" w:after="0" w:line="252" w:lineRule="auto"/>
              <w:jc w:val="left"/>
            </w:pPr>
            <w:r>
              <w:rPr>
                <w:rFonts w:ascii="Calibri" w:hAnsi="Calibri"/>
                <w:color w:val="000000"/>
                <w:sz w:val="18"/>
              </w:rPr>
              <w:t>Půda, kámen, minerály, pevnost a fyzická ochrana. Vyniká v obraně a změně terénu.</w:t>
            </w:r>
          </w:p>
        </w:tc>
      </w:tr>
      <w:tr>
        <w:trPr>
          <w:cantSplit/>
        </w:trPr>
        <w:tc>
          <w:tcPr>
            <w:tcW w:type="dxa" w:w="2100"/>
            <w:tcMar>
              <w:top w:w="80" w:type="dxa"/>
              <w:start w:w="120" w:type="dxa"/>
              <w:bottom w:w="80" w:type="dxa"/>
              <w:end w:w="120" w:type="dxa"/>
            </w:tcMar>
            <w:vAlign w:val="center"/>
          </w:tcPr>
          <w:p>
            <w:pPr>
              <w:spacing w:before="0" w:after="0" w:line="252" w:lineRule="auto"/>
              <w:jc w:val="left"/>
            </w:pPr>
            <w:r>
              <w:rPr>
                <w:rFonts w:ascii="Calibri" w:hAnsi="Calibri"/>
                <w:color w:val="000000"/>
                <w:sz w:val="18"/>
              </w:rPr>
              <w:t>Mysl</w:t>
            </w:r>
          </w:p>
        </w:tc>
        <w:tc>
          <w:tcPr>
            <w:tcW w:type="dxa" w:w="7260"/>
            <w:tcMar>
              <w:top w:w="80" w:type="dxa"/>
              <w:start w:w="120" w:type="dxa"/>
              <w:bottom w:w="80" w:type="dxa"/>
              <w:end w:w="120" w:type="dxa"/>
            </w:tcMar>
            <w:vAlign w:val="center"/>
          </w:tcPr>
          <w:p>
            <w:pPr>
              <w:spacing w:before="0" w:after="0" w:line="252" w:lineRule="auto"/>
              <w:jc w:val="left"/>
            </w:pPr>
            <w:r>
              <w:rPr>
                <w:rFonts w:ascii="Calibri" w:hAnsi="Calibri"/>
                <w:color w:val="000000"/>
                <w:sz w:val="18"/>
              </w:rPr>
              <w:t>Telekineze, telepatie, myšlenky, emoce, iluze a mentální ovlivňování. Telekineze patří sem.</w:t>
            </w:r>
          </w:p>
        </w:tc>
      </w:tr>
      <w:tr>
        <w:trPr>
          <w:cantSplit/>
        </w:trPr>
        <w:tc>
          <w:tcPr>
            <w:tcW w:type="dxa" w:w="2100"/>
            <w:tcMar>
              <w:top w:w="80" w:type="dxa"/>
              <w:start w:w="120" w:type="dxa"/>
              <w:bottom w:w="80" w:type="dxa"/>
              <w:end w:w="120" w:type="dxa"/>
            </w:tcMar>
            <w:vAlign w:val="center"/>
          </w:tcPr>
          <w:p>
            <w:pPr>
              <w:spacing w:before="0" w:after="0" w:line="252" w:lineRule="auto"/>
              <w:jc w:val="left"/>
            </w:pPr>
            <w:r>
              <w:rPr>
                <w:rFonts w:ascii="Calibri" w:hAnsi="Calibri"/>
                <w:color w:val="000000"/>
                <w:sz w:val="18"/>
              </w:rPr>
              <w:t>Duch</w:t>
            </w:r>
          </w:p>
        </w:tc>
        <w:tc>
          <w:tcPr>
            <w:tcW w:type="dxa" w:w="7260"/>
            <w:tcMar>
              <w:top w:w="80" w:type="dxa"/>
              <w:start w:w="120" w:type="dxa"/>
              <w:bottom w:w="80" w:type="dxa"/>
              <w:end w:w="120" w:type="dxa"/>
            </w:tcMar>
            <w:vAlign w:val="center"/>
          </w:tcPr>
          <w:p>
            <w:pPr>
              <w:spacing w:before="0" w:after="0" w:line="252" w:lineRule="auto"/>
              <w:jc w:val="left"/>
            </w:pPr>
            <w:r>
              <w:rPr>
                <w:rFonts w:ascii="Calibri" w:hAnsi="Calibri"/>
                <w:color w:val="000000"/>
                <w:sz w:val="18"/>
              </w:rPr>
              <w:t>Duše, duchové, životní síla, požehnání, ochrana duše a komunikace s duchy.</w:t>
            </w:r>
          </w:p>
        </w:tc>
      </w:tr>
      <w:tr>
        <w:trPr>
          <w:cantSplit/>
        </w:trPr>
        <w:tc>
          <w:tcPr>
            <w:tcW w:type="dxa" w:w="2100"/>
            <w:tcMar>
              <w:top w:w="80" w:type="dxa"/>
              <w:start w:w="120" w:type="dxa"/>
              <w:bottom w:w="80" w:type="dxa"/>
              <w:end w:w="120" w:type="dxa"/>
            </w:tcMar>
            <w:vAlign w:val="center"/>
          </w:tcPr>
          <w:p>
            <w:pPr>
              <w:spacing w:before="0" w:after="0" w:line="252" w:lineRule="auto"/>
              <w:jc w:val="left"/>
            </w:pPr>
            <w:r>
              <w:rPr>
                <w:rFonts w:ascii="Calibri" w:hAnsi="Calibri"/>
                <w:color w:val="000000"/>
                <w:sz w:val="18"/>
              </w:rPr>
              <w:t>Světlá magie</w:t>
            </w:r>
          </w:p>
        </w:tc>
        <w:tc>
          <w:tcPr>
            <w:tcW w:type="dxa" w:w="7260"/>
            <w:tcMar>
              <w:top w:w="80" w:type="dxa"/>
              <w:start w:w="120" w:type="dxa"/>
              <w:bottom w:w="80" w:type="dxa"/>
              <w:end w:w="120" w:type="dxa"/>
            </w:tcMar>
            <w:vAlign w:val="center"/>
          </w:tcPr>
          <w:p>
            <w:pPr>
              <w:spacing w:before="0" w:after="0" w:line="252" w:lineRule="auto"/>
              <w:jc w:val="left"/>
            </w:pPr>
            <w:r>
              <w:rPr>
                <w:rFonts w:ascii="Calibri" w:hAnsi="Calibri"/>
                <w:color w:val="000000"/>
                <w:sz w:val="18"/>
              </w:rPr>
              <w:t>Léčení, očista, ochrana a světelné útoky. Léčivá kouzla používají koeficient léčení.</w:t>
            </w:r>
          </w:p>
        </w:tc>
      </w:tr>
      <w:tr>
        <w:trPr>
          <w:cantSplit/>
        </w:trPr>
        <w:tc>
          <w:tcPr>
            <w:tcW w:type="dxa" w:w="2100"/>
            <w:tcMar>
              <w:top w:w="80" w:type="dxa"/>
              <w:start w:w="120" w:type="dxa"/>
              <w:bottom w:w="80" w:type="dxa"/>
              <w:end w:w="120" w:type="dxa"/>
            </w:tcMar>
            <w:vAlign w:val="center"/>
          </w:tcPr>
          <w:p>
            <w:pPr>
              <w:spacing w:before="0" w:after="0" w:line="252" w:lineRule="auto"/>
              <w:jc w:val="left"/>
            </w:pPr>
            <w:r>
              <w:rPr>
                <w:rFonts w:ascii="Calibri" w:hAnsi="Calibri"/>
                <w:color w:val="000000"/>
                <w:sz w:val="18"/>
              </w:rPr>
              <w:t>Temná magie</w:t>
            </w:r>
          </w:p>
        </w:tc>
        <w:tc>
          <w:tcPr>
            <w:tcW w:type="dxa" w:w="7260"/>
            <w:tcMar>
              <w:top w:w="80" w:type="dxa"/>
              <w:start w:w="120" w:type="dxa"/>
              <w:bottom w:w="80" w:type="dxa"/>
              <w:end w:w="120" w:type="dxa"/>
            </w:tcMar>
            <w:vAlign w:val="center"/>
          </w:tcPr>
          <w:p>
            <w:pPr>
              <w:spacing w:before="0" w:after="0" w:line="252" w:lineRule="auto"/>
              <w:jc w:val="left"/>
            </w:pPr>
            <w:r>
              <w:rPr>
                <w:rFonts w:ascii="Calibri" w:hAnsi="Calibri"/>
                <w:color w:val="000000"/>
                <w:sz w:val="18"/>
              </w:rPr>
              <w:t>Strach, kletby, stíny, vysávání životní síly, oslabování a nekromancie. Sama o sobě není automaticky zlá.</w:t>
            </w:r>
          </w:p>
        </w:tc>
      </w:tr>
      <w:tr>
        <w:trPr>
          <w:cantSplit/>
        </w:trPr>
        <w:tc>
          <w:tcPr>
            <w:tcW w:type="dxa" w:w="2100"/>
            <w:tcMar>
              <w:top w:w="80" w:type="dxa"/>
              <w:start w:w="120" w:type="dxa"/>
              <w:bottom w:w="80" w:type="dxa"/>
              <w:end w:w="120" w:type="dxa"/>
            </w:tcMar>
            <w:vAlign w:val="center"/>
          </w:tcPr>
          <w:p>
            <w:pPr>
              <w:spacing w:before="0" w:after="0" w:line="252" w:lineRule="auto"/>
              <w:jc w:val="left"/>
            </w:pPr>
            <w:r>
              <w:rPr>
                <w:rFonts w:ascii="Calibri" w:hAnsi="Calibri"/>
                <w:color w:val="000000"/>
                <w:sz w:val="18"/>
              </w:rPr>
              <w:t>Přírodní magie</w:t>
            </w:r>
          </w:p>
        </w:tc>
        <w:tc>
          <w:tcPr>
            <w:tcW w:type="dxa" w:w="7260"/>
            <w:tcMar>
              <w:top w:w="80" w:type="dxa"/>
              <w:start w:w="120" w:type="dxa"/>
              <w:bottom w:w="80" w:type="dxa"/>
              <w:end w:w="120" w:type="dxa"/>
            </w:tcMar>
            <w:vAlign w:val="center"/>
          </w:tcPr>
          <w:p>
            <w:pPr>
              <w:spacing w:before="0" w:after="0" w:line="252" w:lineRule="auto"/>
              <w:jc w:val="left"/>
            </w:pPr>
            <w:r>
              <w:rPr>
                <w:rFonts w:ascii="Calibri" w:hAnsi="Calibri"/>
                <w:color w:val="000000"/>
                <w:sz w:val="18"/>
              </w:rPr>
              <w:t>Rostliny, zvířata, přírodní síly a přírodní léčení. Tematicky blízká hraničářům, elfům a některým léčitelům.</w:t>
            </w:r>
          </w:p>
        </w:tc>
      </w:tr>
      <w:tr>
        <w:trPr>
          <w:cantSplit/>
        </w:trPr>
        <w:tc>
          <w:tcPr>
            <w:tcW w:type="dxa" w:w="2100"/>
            <w:tcMar>
              <w:top w:w="80" w:type="dxa"/>
              <w:start w:w="120" w:type="dxa"/>
              <w:bottom w:w="80" w:type="dxa"/>
              <w:end w:w="120" w:type="dxa"/>
            </w:tcMar>
            <w:vAlign w:val="center"/>
          </w:tcPr>
          <w:p>
            <w:pPr>
              <w:spacing w:before="0" w:after="0" w:line="252" w:lineRule="auto"/>
              <w:jc w:val="left"/>
            </w:pPr>
            <w:r>
              <w:rPr>
                <w:rFonts w:ascii="Calibri" w:hAnsi="Calibri"/>
                <w:color w:val="000000"/>
                <w:sz w:val="18"/>
              </w:rPr>
              <w:t>Hvězdná magie</w:t>
            </w:r>
          </w:p>
        </w:tc>
        <w:tc>
          <w:tcPr>
            <w:tcW w:type="dxa" w:w="7260"/>
            <w:tcMar>
              <w:top w:w="80" w:type="dxa"/>
              <w:start w:w="120" w:type="dxa"/>
              <w:bottom w:w="80" w:type="dxa"/>
              <w:end w:w="120" w:type="dxa"/>
            </w:tcMar>
            <w:vAlign w:val="center"/>
          </w:tcPr>
          <w:p>
            <w:pPr>
              <w:spacing w:before="0" w:after="0" w:line="252" w:lineRule="auto"/>
              <w:jc w:val="left"/>
            </w:pPr>
            <w:r>
              <w:rPr>
                <w:rFonts w:ascii="Calibri" w:hAnsi="Calibri"/>
                <w:color w:val="000000"/>
                <w:sz w:val="18"/>
              </w:rPr>
              <w:t>Mistrovská nadstavba pracující s osudem, časem, realitou a vzdálenými světy. Začínající postavy ji nemohou používat.</w:t>
            </w:r>
          </w:p>
        </w:tc>
      </w:tr>
    </w:tbl>
    <w:p>
      <w:pPr>
        <w:pStyle w:val="Heading2"/>
      </w:pPr>
      <w:r>
        <w:t>1.1 Skutečné počáteční hodnoty CH</w:t>
      </w:r>
    </w:p>
    <w:p>
      <w:pPr>
        <w:spacing w:before="0" w:after="120" w:line="300" w:lineRule="auto"/>
      </w:pPr>
      <w:r>
        <w:rPr>
          <w:rFonts w:ascii="Calibri" w:hAnsi="Calibri"/>
          <w:b w:val="0"/>
          <w:color w:val="000000"/>
          <w:sz w:val="21"/>
        </w:rPr>
        <w:t>Aktuální matice 30 kombinací dává následující počáteční Chytrost:</w:t>
      </w:r>
    </w:p>
    <w:tbl>
      <w:tblPr>
        <w:tblW w:type="dxa" w:w="9360"/>
        <w:jc w:val="left"/>
        <w:tblLayout w:type="fixed"/>
        <w:tblLook w:firstColumn="1" w:firstRow="1" w:lastColumn="0" w:lastRow="0" w:noHBand="0" w:noVBand="1" w:val="04A0"/>
        <w:tblInd w:w="120" w:type="dxa"/>
        <w:tblBorders>
          <w:top w:val="single" w:sz="4" w:space="0" w:color="AAB7C4"/>
          <w:left w:val="single" w:sz="4" w:space="0" w:color="AAB7C4"/>
          <w:bottom w:val="single" w:sz="4" w:space="0" w:color="AAB7C4"/>
          <w:right w:val="single" w:sz="4" w:space="0" w:color="AAB7C4"/>
          <w:insideH w:val="single" w:sz="4" w:space="0" w:color="AAB7C4"/>
          <w:insideV w:val="single" w:sz="4" w:space="0" w:color="AAB7C4"/>
        </w:tblBorders>
      </w:tblPr>
      <w:tblGrid>
        <w:gridCol w:w="1800"/>
        <w:gridCol w:w="1260"/>
        <w:gridCol w:w="1260"/>
        <w:gridCol w:w="1260"/>
        <w:gridCol w:w="1260"/>
        <w:gridCol w:w="1260"/>
        <w:gridCol w:w="1260"/>
      </w:tblGrid>
      <w:tr>
        <w:trPr>
          <w:tblHeader w:val="true"/>
          <w:cantSplit/>
        </w:trPr>
        <w:tc>
          <w:tcPr>
            <w:tcW w:type="dxa" w:w="1800"/>
            <w:shd w:fill="E8EEF5"/>
            <w:tcMar>
              <w:top w:w="80" w:type="dxa"/>
              <w:start w:w="120" w:type="dxa"/>
              <w:bottom w:w="80" w:type="dxa"/>
              <w:end w:w="120" w:type="dxa"/>
            </w:tcMar>
            <w:vAlign w:val="center"/>
          </w:tcPr>
          <w:p>
            <w:pPr>
              <w:spacing w:before="0" w:after="0" w:line="240" w:lineRule="auto"/>
              <w:jc w:val="left"/>
            </w:pPr>
            <w:r>
              <w:rPr>
                <w:rFonts w:ascii="Calibri" w:hAnsi="Calibri"/>
                <w:b/>
                <w:color w:val="18324A"/>
                <w:sz w:val="18"/>
              </w:rPr>
              <w:t>Rasa</w:t>
            </w:r>
          </w:p>
        </w:tc>
        <w:tc>
          <w:tcPr>
            <w:tcW w:type="dxa" w:w="1260"/>
            <w:shd w:fill="E8EEF5"/>
            <w:tcMar>
              <w:top w:w="80" w:type="dxa"/>
              <w:start w:w="120" w:type="dxa"/>
              <w:bottom w:w="80" w:type="dxa"/>
              <w:end w:w="120" w:type="dxa"/>
            </w:tcMar>
            <w:vAlign w:val="center"/>
          </w:tcPr>
          <w:p>
            <w:pPr>
              <w:spacing w:before="0" w:after="0" w:line="240" w:lineRule="auto"/>
              <w:jc w:val="center"/>
            </w:pPr>
            <w:r>
              <w:rPr>
                <w:rFonts w:ascii="Calibri" w:hAnsi="Calibri"/>
                <w:b/>
                <w:color w:val="18324A"/>
                <w:sz w:val="18"/>
              </w:rPr>
              <w:t>Bojovník</w:t>
            </w:r>
          </w:p>
        </w:tc>
        <w:tc>
          <w:tcPr>
            <w:tcW w:type="dxa" w:w="1260"/>
            <w:shd w:fill="E8EEF5"/>
            <w:tcMar>
              <w:top w:w="80" w:type="dxa"/>
              <w:start w:w="120" w:type="dxa"/>
              <w:bottom w:w="80" w:type="dxa"/>
              <w:end w:w="120" w:type="dxa"/>
            </w:tcMar>
            <w:vAlign w:val="center"/>
          </w:tcPr>
          <w:p>
            <w:pPr>
              <w:spacing w:before="0" w:after="0" w:line="240" w:lineRule="auto"/>
              <w:jc w:val="center"/>
            </w:pPr>
            <w:r>
              <w:rPr>
                <w:rFonts w:ascii="Calibri" w:hAnsi="Calibri"/>
                <w:b/>
                <w:color w:val="18324A"/>
                <w:sz w:val="18"/>
              </w:rPr>
              <w:t>Hraničář</w:t>
            </w:r>
          </w:p>
        </w:tc>
        <w:tc>
          <w:tcPr>
            <w:tcW w:type="dxa" w:w="1260"/>
            <w:shd w:fill="E8EEF5"/>
            <w:tcMar>
              <w:top w:w="80" w:type="dxa"/>
              <w:start w:w="120" w:type="dxa"/>
              <w:bottom w:w="80" w:type="dxa"/>
              <w:end w:w="120" w:type="dxa"/>
            </w:tcMar>
            <w:vAlign w:val="center"/>
          </w:tcPr>
          <w:p>
            <w:pPr>
              <w:spacing w:before="0" w:after="0" w:line="240" w:lineRule="auto"/>
              <w:jc w:val="center"/>
            </w:pPr>
            <w:r>
              <w:rPr>
                <w:rFonts w:ascii="Calibri" w:hAnsi="Calibri"/>
                <w:b/>
                <w:color w:val="18324A"/>
                <w:sz w:val="18"/>
              </w:rPr>
              <w:t>Kouzelník</w:t>
            </w:r>
          </w:p>
        </w:tc>
        <w:tc>
          <w:tcPr>
            <w:tcW w:type="dxa" w:w="1260"/>
            <w:shd w:fill="E8EEF5"/>
            <w:tcMar>
              <w:top w:w="80" w:type="dxa"/>
              <w:start w:w="120" w:type="dxa"/>
              <w:bottom w:w="80" w:type="dxa"/>
              <w:end w:w="120" w:type="dxa"/>
            </w:tcMar>
            <w:vAlign w:val="center"/>
          </w:tcPr>
          <w:p>
            <w:pPr>
              <w:spacing w:before="0" w:after="0" w:line="240" w:lineRule="auto"/>
              <w:jc w:val="center"/>
            </w:pPr>
            <w:r>
              <w:rPr>
                <w:rFonts w:ascii="Calibri" w:hAnsi="Calibri"/>
                <w:b/>
                <w:color w:val="18324A"/>
                <w:sz w:val="18"/>
              </w:rPr>
              <w:t>Zloděj</w:t>
            </w:r>
          </w:p>
        </w:tc>
        <w:tc>
          <w:tcPr>
            <w:tcW w:type="dxa" w:w="1260"/>
            <w:shd w:fill="E8EEF5"/>
            <w:tcMar>
              <w:top w:w="80" w:type="dxa"/>
              <w:start w:w="120" w:type="dxa"/>
              <w:bottom w:w="80" w:type="dxa"/>
              <w:end w:w="120" w:type="dxa"/>
            </w:tcMar>
            <w:vAlign w:val="center"/>
          </w:tcPr>
          <w:p>
            <w:pPr>
              <w:spacing w:before="0" w:after="0" w:line="240" w:lineRule="auto"/>
              <w:jc w:val="center"/>
            </w:pPr>
            <w:r>
              <w:rPr>
                <w:rFonts w:ascii="Calibri" w:hAnsi="Calibri"/>
                <w:b/>
                <w:color w:val="18324A"/>
                <w:sz w:val="18"/>
              </w:rPr>
              <w:t>Léčitel</w:t>
            </w:r>
          </w:p>
        </w:tc>
        <w:tc>
          <w:tcPr>
            <w:tcW w:type="dxa" w:w="1260"/>
            <w:shd w:fill="E8EEF5"/>
            <w:tcMar>
              <w:top w:w="80" w:type="dxa"/>
              <w:start w:w="120" w:type="dxa"/>
              <w:bottom w:w="80" w:type="dxa"/>
              <w:end w:w="120" w:type="dxa"/>
            </w:tcMar>
            <w:vAlign w:val="center"/>
          </w:tcPr>
          <w:p>
            <w:pPr>
              <w:spacing w:before="0" w:after="0" w:line="240" w:lineRule="auto"/>
              <w:jc w:val="center"/>
            </w:pPr>
            <w:r>
              <w:rPr>
                <w:rFonts w:ascii="Calibri" w:hAnsi="Calibri"/>
                <w:b/>
                <w:color w:val="18324A"/>
                <w:sz w:val="18"/>
              </w:rPr>
              <w:t>Bard</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8"/>
              </w:rPr>
              <w:t>Člověk</w:t>
            </w:r>
          </w:p>
        </w:tc>
        <w:tc>
          <w:tcPr>
            <w:tcW w:type="dxa" w:w="1260"/>
            <w:tcMar>
              <w:top w:w="80" w:type="dxa"/>
              <w:start w:w="120" w:type="dxa"/>
              <w:bottom w:w="80" w:type="dxa"/>
              <w:end w:w="120" w:type="dxa"/>
            </w:tcMar>
            <w:vAlign w:val="center"/>
          </w:tcPr>
          <w:p>
            <w:pPr>
              <w:spacing w:before="0" w:after="0" w:line="252" w:lineRule="auto"/>
              <w:jc w:val="center"/>
            </w:pPr>
            <w:r>
              <w:rPr>
                <w:rFonts w:ascii="Calibri" w:hAnsi="Calibri"/>
                <w:color w:val="000000"/>
                <w:sz w:val="18"/>
              </w:rPr>
              <w:t>5</w:t>
            </w:r>
          </w:p>
        </w:tc>
        <w:tc>
          <w:tcPr>
            <w:tcW w:type="dxa" w:w="1260"/>
            <w:tcMar>
              <w:top w:w="80" w:type="dxa"/>
              <w:start w:w="120" w:type="dxa"/>
              <w:bottom w:w="80" w:type="dxa"/>
              <w:end w:w="120" w:type="dxa"/>
            </w:tcMar>
            <w:vAlign w:val="center"/>
          </w:tcPr>
          <w:p>
            <w:pPr>
              <w:spacing w:before="0" w:after="0" w:line="252" w:lineRule="auto"/>
              <w:jc w:val="center"/>
            </w:pPr>
            <w:r>
              <w:rPr>
                <w:rFonts w:ascii="Calibri" w:hAnsi="Calibri"/>
                <w:color w:val="000000"/>
                <w:sz w:val="18"/>
              </w:rPr>
              <w:t>5</w:t>
            </w:r>
          </w:p>
        </w:tc>
        <w:tc>
          <w:tcPr>
            <w:tcW w:type="dxa" w:w="1260"/>
            <w:tcMar>
              <w:top w:w="80" w:type="dxa"/>
              <w:start w:w="120" w:type="dxa"/>
              <w:bottom w:w="80" w:type="dxa"/>
              <w:end w:w="120" w:type="dxa"/>
            </w:tcMar>
            <w:vAlign w:val="center"/>
          </w:tcPr>
          <w:p>
            <w:pPr>
              <w:spacing w:before="0" w:after="0" w:line="252" w:lineRule="auto"/>
              <w:jc w:val="center"/>
            </w:pPr>
            <w:r>
              <w:rPr>
                <w:rFonts w:ascii="Calibri" w:hAnsi="Calibri"/>
                <w:color w:val="000000"/>
                <w:sz w:val="18"/>
              </w:rPr>
              <w:t>8</w:t>
            </w:r>
          </w:p>
        </w:tc>
        <w:tc>
          <w:tcPr>
            <w:tcW w:type="dxa" w:w="1260"/>
            <w:tcMar>
              <w:top w:w="80" w:type="dxa"/>
              <w:start w:w="120" w:type="dxa"/>
              <w:bottom w:w="80" w:type="dxa"/>
              <w:end w:w="120" w:type="dxa"/>
            </w:tcMar>
            <w:vAlign w:val="center"/>
          </w:tcPr>
          <w:p>
            <w:pPr>
              <w:spacing w:before="0" w:after="0" w:line="252" w:lineRule="auto"/>
              <w:jc w:val="center"/>
            </w:pPr>
            <w:r>
              <w:rPr>
                <w:rFonts w:ascii="Calibri" w:hAnsi="Calibri"/>
                <w:color w:val="000000"/>
                <w:sz w:val="18"/>
              </w:rPr>
              <w:t>5</w:t>
            </w:r>
          </w:p>
        </w:tc>
        <w:tc>
          <w:tcPr>
            <w:tcW w:type="dxa" w:w="1260"/>
            <w:tcMar>
              <w:top w:w="80" w:type="dxa"/>
              <w:start w:w="120" w:type="dxa"/>
              <w:bottom w:w="80" w:type="dxa"/>
              <w:end w:w="120" w:type="dxa"/>
            </w:tcMar>
            <w:vAlign w:val="center"/>
          </w:tcPr>
          <w:p>
            <w:pPr>
              <w:spacing w:before="0" w:after="0" w:line="252" w:lineRule="auto"/>
              <w:jc w:val="center"/>
            </w:pPr>
            <w:r>
              <w:rPr>
                <w:rFonts w:ascii="Calibri" w:hAnsi="Calibri"/>
                <w:color w:val="000000"/>
                <w:sz w:val="18"/>
              </w:rPr>
              <w:t>7</w:t>
            </w:r>
          </w:p>
        </w:tc>
        <w:tc>
          <w:tcPr>
            <w:tcW w:type="dxa" w:w="1260"/>
            <w:tcMar>
              <w:top w:w="80" w:type="dxa"/>
              <w:start w:w="120" w:type="dxa"/>
              <w:bottom w:w="80" w:type="dxa"/>
              <w:end w:w="120" w:type="dxa"/>
            </w:tcMar>
            <w:vAlign w:val="center"/>
          </w:tcPr>
          <w:p>
            <w:pPr>
              <w:spacing w:before="0" w:after="0" w:line="252" w:lineRule="auto"/>
              <w:jc w:val="center"/>
            </w:pPr>
            <w:r>
              <w:rPr>
                <w:rFonts w:ascii="Calibri" w:hAnsi="Calibri"/>
                <w:color w:val="000000"/>
                <w:sz w:val="18"/>
              </w:rPr>
              <w:t>5</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8"/>
              </w:rPr>
              <w:t>Elf</w:t>
            </w:r>
          </w:p>
        </w:tc>
        <w:tc>
          <w:tcPr>
            <w:tcW w:type="dxa" w:w="1260"/>
            <w:tcMar>
              <w:top w:w="80" w:type="dxa"/>
              <w:start w:w="120" w:type="dxa"/>
              <w:bottom w:w="80" w:type="dxa"/>
              <w:end w:w="120" w:type="dxa"/>
            </w:tcMar>
            <w:vAlign w:val="center"/>
          </w:tcPr>
          <w:p>
            <w:pPr>
              <w:spacing w:before="0" w:after="0" w:line="252" w:lineRule="auto"/>
              <w:jc w:val="center"/>
            </w:pPr>
            <w:r>
              <w:rPr>
                <w:rFonts w:ascii="Calibri" w:hAnsi="Calibri"/>
                <w:color w:val="000000"/>
                <w:sz w:val="18"/>
              </w:rPr>
              <w:t>7</w:t>
            </w:r>
          </w:p>
        </w:tc>
        <w:tc>
          <w:tcPr>
            <w:tcW w:type="dxa" w:w="1260"/>
            <w:tcMar>
              <w:top w:w="80" w:type="dxa"/>
              <w:start w:w="120" w:type="dxa"/>
              <w:bottom w:w="80" w:type="dxa"/>
              <w:end w:w="120" w:type="dxa"/>
            </w:tcMar>
            <w:vAlign w:val="center"/>
          </w:tcPr>
          <w:p>
            <w:pPr>
              <w:spacing w:before="0" w:after="0" w:line="252" w:lineRule="auto"/>
              <w:jc w:val="center"/>
            </w:pPr>
            <w:r>
              <w:rPr>
                <w:rFonts w:ascii="Calibri" w:hAnsi="Calibri"/>
                <w:color w:val="000000"/>
                <w:sz w:val="18"/>
              </w:rPr>
              <w:t>7</w:t>
            </w:r>
          </w:p>
        </w:tc>
        <w:tc>
          <w:tcPr>
            <w:tcW w:type="dxa" w:w="1260"/>
            <w:tcMar>
              <w:top w:w="80" w:type="dxa"/>
              <w:start w:w="120" w:type="dxa"/>
              <w:bottom w:w="80" w:type="dxa"/>
              <w:end w:w="120" w:type="dxa"/>
            </w:tcMar>
            <w:vAlign w:val="center"/>
          </w:tcPr>
          <w:p>
            <w:pPr>
              <w:spacing w:before="0" w:after="0" w:line="252" w:lineRule="auto"/>
              <w:jc w:val="center"/>
            </w:pPr>
            <w:r>
              <w:rPr>
                <w:rFonts w:ascii="Calibri" w:hAnsi="Calibri"/>
                <w:color w:val="000000"/>
                <w:sz w:val="18"/>
              </w:rPr>
              <w:t>10</w:t>
            </w:r>
          </w:p>
        </w:tc>
        <w:tc>
          <w:tcPr>
            <w:tcW w:type="dxa" w:w="1260"/>
            <w:tcMar>
              <w:top w:w="80" w:type="dxa"/>
              <w:start w:w="120" w:type="dxa"/>
              <w:bottom w:w="80" w:type="dxa"/>
              <w:end w:w="120" w:type="dxa"/>
            </w:tcMar>
            <w:vAlign w:val="center"/>
          </w:tcPr>
          <w:p>
            <w:pPr>
              <w:spacing w:before="0" w:after="0" w:line="252" w:lineRule="auto"/>
              <w:jc w:val="center"/>
            </w:pPr>
            <w:r>
              <w:rPr>
                <w:rFonts w:ascii="Calibri" w:hAnsi="Calibri"/>
                <w:color w:val="000000"/>
                <w:sz w:val="18"/>
              </w:rPr>
              <w:t>7</w:t>
            </w:r>
          </w:p>
        </w:tc>
        <w:tc>
          <w:tcPr>
            <w:tcW w:type="dxa" w:w="1260"/>
            <w:tcMar>
              <w:top w:w="80" w:type="dxa"/>
              <w:start w:w="120" w:type="dxa"/>
              <w:bottom w:w="80" w:type="dxa"/>
              <w:end w:w="120" w:type="dxa"/>
            </w:tcMar>
            <w:vAlign w:val="center"/>
          </w:tcPr>
          <w:p>
            <w:pPr>
              <w:spacing w:before="0" w:after="0" w:line="252" w:lineRule="auto"/>
              <w:jc w:val="center"/>
            </w:pPr>
            <w:r>
              <w:rPr>
                <w:rFonts w:ascii="Calibri" w:hAnsi="Calibri"/>
                <w:color w:val="000000"/>
                <w:sz w:val="18"/>
              </w:rPr>
              <w:t>9</w:t>
            </w:r>
          </w:p>
        </w:tc>
        <w:tc>
          <w:tcPr>
            <w:tcW w:type="dxa" w:w="1260"/>
            <w:tcMar>
              <w:top w:w="80" w:type="dxa"/>
              <w:start w:w="120" w:type="dxa"/>
              <w:bottom w:w="80" w:type="dxa"/>
              <w:end w:w="120" w:type="dxa"/>
            </w:tcMar>
            <w:vAlign w:val="center"/>
          </w:tcPr>
          <w:p>
            <w:pPr>
              <w:spacing w:before="0" w:after="0" w:line="252" w:lineRule="auto"/>
              <w:jc w:val="center"/>
            </w:pPr>
            <w:r>
              <w:rPr>
                <w:rFonts w:ascii="Calibri" w:hAnsi="Calibri"/>
                <w:color w:val="000000"/>
                <w:sz w:val="18"/>
              </w:rPr>
              <w:t>7</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8"/>
              </w:rPr>
              <w:t>Trpaslík</w:t>
            </w:r>
          </w:p>
        </w:tc>
        <w:tc>
          <w:tcPr>
            <w:tcW w:type="dxa" w:w="1260"/>
            <w:tcMar>
              <w:top w:w="80" w:type="dxa"/>
              <w:start w:w="120" w:type="dxa"/>
              <w:bottom w:w="80" w:type="dxa"/>
              <w:end w:w="120" w:type="dxa"/>
            </w:tcMar>
            <w:vAlign w:val="center"/>
          </w:tcPr>
          <w:p>
            <w:pPr>
              <w:spacing w:before="0" w:after="0" w:line="252" w:lineRule="auto"/>
              <w:jc w:val="center"/>
            </w:pPr>
            <w:r>
              <w:rPr>
                <w:rFonts w:ascii="Calibri" w:hAnsi="Calibri"/>
                <w:color w:val="000000"/>
                <w:sz w:val="18"/>
              </w:rPr>
              <w:t>5</w:t>
            </w:r>
          </w:p>
        </w:tc>
        <w:tc>
          <w:tcPr>
            <w:tcW w:type="dxa" w:w="1260"/>
            <w:tcMar>
              <w:top w:w="80" w:type="dxa"/>
              <w:start w:w="120" w:type="dxa"/>
              <w:bottom w:w="80" w:type="dxa"/>
              <w:end w:w="120" w:type="dxa"/>
            </w:tcMar>
            <w:vAlign w:val="center"/>
          </w:tcPr>
          <w:p>
            <w:pPr>
              <w:spacing w:before="0" w:after="0" w:line="252" w:lineRule="auto"/>
              <w:jc w:val="center"/>
            </w:pPr>
            <w:r>
              <w:rPr>
                <w:rFonts w:ascii="Calibri" w:hAnsi="Calibri"/>
                <w:color w:val="000000"/>
                <w:sz w:val="18"/>
              </w:rPr>
              <w:t>5</w:t>
            </w:r>
          </w:p>
        </w:tc>
        <w:tc>
          <w:tcPr>
            <w:tcW w:type="dxa" w:w="1260"/>
            <w:tcMar>
              <w:top w:w="80" w:type="dxa"/>
              <w:start w:w="120" w:type="dxa"/>
              <w:bottom w:w="80" w:type="dxa"/>
              <w:end w:w="120" w:type="dxa"/>
            </w:tcMar>
            <w:vAlign w:val="center"/>
          </w:tcPr>
          <w:p>
            <w:pPr>
              <w:spacing w:before="0" w:after="0" w:line="252" w:lineRule="auto"/>
              <w:jc w:val="center"/>
            </w:pPr>
            <w:r>
              <w:rPr>
                <w:rFonts w:ascii="Calibri" w:hAnsi="Calibri"/>
                <w:color w:val="000000"/>
                <w:sz w:val="18"/>
              </w:rPr>
              <w:t>8</w:t>
            </w:r>
          </w:p>
        </w:tc>
        <w:tc>
          <w:tcPr>
            <w:tcW w:type="dxa" w:w="1260"/>
            <w:tcMar>
              <w:top w:w="80" w:type="dxa"/>
              <w:start w:w="120" w:type="dxa"/>
              <w:bottom w:w="80" w:type="dxa"/>
              <w:end w:w="120" w:type="dxa"/>
            </w:tcMar>
            <w:vAlign w:val="center"/>
          </w:tcPr>
          <w:p>
            <w:pPr>
              <w:spacing w:before="0" w:after="0" w:line="252" w:lineRule="auto"/>
              <w:jc w:val="center"/>
            </w:pPr>
            <w:r>
              <w:rPr>
                <w:rFonts w:ascii="Calibri" w:hAnsi="Calibri"/>
                <w:color w:val="000000"/>
                <w:sz w:val="18"/>
              </w:rPr>
              <w:t>5</w:t>
            </w:r>
          </w:p>
        </w:tc>
        <w:tc>
          <w:tcPr>
            <w:tcW w:type="dxa" w:w="1260"/>
            <w:tcMar>
              <w:top w:w="80" w:type="dxa"/>
              <w:start w:w="120" w:type="dxa"/>
              <w:bottom w:w="80" w:type="dxa"/>
              <w:end w:w="120" w:type="dxa"/>
            </w:tcMar>
            <w:vAlign w:val="center"/>
          </w:tcPr>
          <w:p>
            <w:pPr>
              <w:spacing w:before="0" w:after="0" w:line="252" w:lineRule="auto"/>
              <w:jc w:val="center"/>
            </w:pPr>
            <w:r>
              <w:rPr>
                <w:rFonts w:ascii="Calibri" w:hAnsi="Calibri"/>
                <w:color w:val="000000"/>
                <w:sz w:val="18"/>
              </w:rPr>
              <w:t>7</w:t>
            </w:r>
          </w:p>
        </w:tc>
        <w:tc>
          <w:tcPr>
            <w:tcW w:type="dxa" w:w="1260"/>
            <w:tcMar>
              <w:top w:w="80" w:type="dxa"/>
              <w:start w:w="120" w:type="dxa"/>
              <w:bottom w:w="80" w:type="dxa"/>
              <w:end w:w="120" w:type="dxa"/>
            </w:tcMar>
            <w:vAlign w:val="center"/>
          </w:tcPr>
          <w:p>
            <w:pPr>
              <w:spacing w:before="0" w:after="0" w:line="252" w:lineRule="auto"/>
              <w:jc w:val="center"/>
            </w:pPr>
            <w:r>
              <w:rPr>
                <w:rFonts w:ascii="Calibri" w:hAnsi="Calibri"/>
                <w:color w:val="000000"/>
                <w:sz w:val="18"/>
              </w:rPr>
              <w:t>5</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8"/>
              </w:rPr>
              <w:t>Ork</w:t>
            </w:r>
          </w:p>
        </w:tc>
        <w:tc>
          <w:tcPr>
            <w:tcW w:type="dxa" w:w="1260"/>
            <w:tcMar>
              <w:top w:w="80" w:type="dxa"/>
              <w:start w:w="120" w:type="dxa"/>
              <w:bottom w:w="80" w:type="dxa"/>
              <w:end w:w="120" w:type="dxa"/>
            </w:tcMar>
            <w:vAlign w:val="center"/>
          </w:tcPr>
          <w:p>
            <w:pPr>
              <w:spacing w:before="0" w:after="0" w:line="252" w:lineRule="auto"/>
              <w:jc w:val="center"/>
            </w:pPr>
            <w:r>
              <w:rPr>
                <w:rFonts w:ascii="Calibri" w:hAnsi="Calibri"/>
                <w:color w:val="000000"/>
                <w:sz w:val="18"/>
              </w:rPr>
              <w:t>4</w:t>
            </w:r>
          </w:p>
        </w:tc>
        <w:tc>
          <w:tcPr>
            <w:tcW w:type="dxa" w:w="1260"/>
            <w:tcMar>
              <w:top w:w="80" w:type="dxa"/>
              <w:start w:w="120" w:type="dxa"/>
              <w:bottom w:w="80" w:type="dxa"/>
              <w:end w:w="120" w:type="dxa"/>
            </w:tcMar>
            <w:vAlign w:val="center"/>
          </w:tcPr>
          <w:p>
            <w:pPr>
              <w:spacing w:before="0" w:after="0" w:line="252" w:lineRule="auto"/>
              <w:jc w:val="center"/>
            </w:pPr>
            <w:r>
              <w:rPr>
                <w:rFonts w:ascii="Calibri" w:hAnsi="Calibri"/>
                <w:color w:val="000000"/>
                <w:sz w:val="18"/>
              </w:rPr>
              <w:t>4</w:t>
            </w:r>
          </w:p>
        </w:tc>
        <w:tc>
          <w:tcPr>
            <w:tcW w:type="dxa" w:w="1260"/>
            <w:tcMar>
              <w:top w:w="80" w:type="dxa"/>
              <w:start w:w="120" w:type="dxa"/>
              <w:bottom w:w="80" w:type="dxa"/>
              <w:end w:w="120" w:type="dxa"/>
            </w:tcMar>
            <w:vAlign w:val="center"/>
          </w:tcPr>
          <w:p>
            <w:pPr>
              <w:spacing w:before="0" w:after="0" w:line="252" w:lineRule="auto"/>
              <w:jc w:val="center"/>
            </w:pPr>
            <w:r>
              <w:rPr>
                <w:rFonts w:ascii="Calibri" w:hAnsi="Calibri"/>
                <w:color w:val="000000"/>
                <w:sz w:val="18"/>
              </w:rPr>
              <w:t>7</w:t>
            </w:r>
          </w:p>
        </w:tc>
        <w:tc>
          <w:tcPr>
            <w:tcW w:type="dxa" w:w="1260"/>
            <w:tcMar>
              <w:top w:w="80" w:type="dxa"/>
              <w:start w:w="120" w:type="dxa"/>
              <w:bottom w:w="80" w:type="dxa"/>
              <w:end w:w="120" w:type="dxa"/>
            </w:tcMar>
            <w:vAlign w:val="center"/>
          </w:tcPr>
          <w:p>
            <w:pPr>
              <w:spacing w:before="0" w:after="0" w:line="252" w:lineRule="auto"/>
              <w:jc w:val="center"/>
            </w:pPr>
            <w:r>
              <w:rPr>
                <w:rFonts w:ascii="Calibri" w:hAnsi="Calibri"/>
                <w:color w:val="000000"/>
                <w:sz w:val="18"/>
              </w:rPr>
              <w:t>4</w:t>
            </w:r>
          </w:p>
        </w:tc>
        <w:tc>
          <w:tcPr>
            <w:tcW w:type="dxa" w:w="1260"/>
            <w:tcMar>
              <w:top w:w="80" w:type="dxa"/>
              <w:start w:w="120" w:type="dxa"/>
              <w:bottom w:w="80" w:type="dxa"/>
              <w:end w:w="120" w:type="dxa"/>
            </w:tcMar>
            <w:vAlign w:val="center"/>
          </w:tcPr>
          <w:p>
            <w:pPr>
              <w:spacing w:before="0" w:after="0" w:line="252" w:lineRule="auto"/>
              <w:jc w:val="center"/>
            </w:pPr>
            <w:r>
              <w:rPr>
                <w:rFonts w:ascii="Calibri" w:hAnsi="Calibri"/>
                <w:color w:val="000000"/>
                <w:sz w:val="18"/>
              </w:rPr>
              <w:t>6</w:t>
            </w:r>
          </w:p>
        </w:tc>
        <w:tc>
          <w:tcPr>
            <w:tcW w:type="dxa" w:w="1260"/>
            <w:tcMar>
              <w:top w:w="80" w:type="dxa"/>
              <w:start w:w="120" w:type="dxa"/>
              <w:bottom w:w="80" w:type="dxa"/>
              <w:end w:w="120" w:type="dxa"/>
            </w:tcMar>
            <w:vAlign w:val="center"/>
          </w:tcPr>
          <w:p>
            <w:pPr>
              <w:spacing w:before="0" w:after="0" w:line="252" w:lineRule="auto"/>
              <w:jc w:val="center"/>
            </w:pPr>
            <w:r>
              <w:rPr>
                <w:rFonts w:ascii="Calibri" w:hAnsi="Calibri"/>
                <w:color w:val="000000"/>
                <w:sz w:val="18"/>
              </w:rPr>
              <w:t>4</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8"/>
              </w:rPr>
              <w:t>Půlčík</w:t>
            </w:r>
          </w:p>
        </w:tc>
        <w:tc>
          <w:tcPr>
            <w:tcW w:type="dxa" w:w="1260"/>
            <w:tcMar>
              <w:top w:w="80" w:type="dxa"/>
              <w:start w:w="120" w:type="dxa"/>
              <w:bottom w:w="80" w:type="dxa"/>
              <w:end w:w="120" w:type="dxa"/>
            </w:tcMar>
            <w:vAlign w:val="center"/>
          </w:tcPr>
          <w:p>
            <w:pPr>
              <w:spacing w:before="0" w:after="0" w:line="252" w:lineRule="auto"/>
              <w:jc w:val="center"/>
            </w:pPr>
            <w:r>
              <w:rPr>
                <w:rFonts w:ascii="Calibri" w:hAnsi="Calibri"/>
                <w:color w:val="000000"/>
                <w:sz w:val="18"/>
              </w:rPr>
              <w:t>5</w:t>
            </w:r>
          </w:p>
        </w:tc>
        <w:tc>
          <w:tcPr>
            <w:tcW w:type="dxa" w:w="1260"/>
            <w:tcMar>
              <w:top w:w="80" w:type="dxa"/>
              <w:start w:w="120" w:type="dxa"/>
              <w:bottom w:w="80" w:type="dxa"/>
              <w:end w:w="120" w:type="dxa"/>
            </w:tcMar>
            <w:vAlign w:val="center"/>
          </w:tcPr>
          <w:p>
            <w:pPr>
              <w:spacing w:before="0" w:after="0" w:line="252" w:lineRule="auto"/>
              <w:jc w:val="center"/>
            </w:pPr>
            <w:r>
              <w:rPr>
                <w:rFonts w:ascii="Calibri" w:hAnsi="Calibri"/>
                <w:color w:val="000000"/>
                <w:sz w:val="18"/>
              </w:rPr>
              <w:t>5</w:t>
            </w:r>
          </w:p>
        </w:tc>
        <w:tc>
          <w:tcPr>
            <w:tcW w:type="dxa" w:w="1260"/>
            <w:tcMar>
              <w:top w:w="80" w:type="dxa"/>
              <w:start w:w="120" w:type="dxa"/>
              <w:bottom w:w="80" w:type="dxa"/>
              <w:end w:w="120" w:type="dxa"/>
            </w:tcMar>
            <w:vAlign w:val="center"/>
          </w:tcPr>
          <w:p>
            <w:pPr>
              <w:spacing w:before="0" w:after="0" w:line="252" w:lineRule="auto"/>
              <w:jc w:val="center"/>
            </w:pPr>
            <w:r>
              <w:rPr>
                <w:rFonts w:ascii="Calibri" w:hAnsi="Calibri"/>
                <w:color w:val="000000"/>
                <w:sz w:val="18"/>
              </w:rPr>
              <w:t>8</w:t>
            </w:r>
          </w:p>
        </w:tc>
        <w:tc>
          <w:tcPr>
            <w:tcW w:type="dxa" w:w="1260"/>
            <w:tcMar>
              <w:top w:w="80" w:type="dxa"/>
              <w:start w:w="120" w:type="dxa"/>
              <w:bottom w:w="80" w:type="dxa"/>
              <w:end w:w="120" w:type="dxa"/>
            </w:tcMar>
            <w:vAlign w:val="center"/>
          </w:tcPr>
          <w:p>
            <w:pPr>
              <w:spacing w:before="0" w:after="0" w:line="252" w:lineRule="auto"/>
              <w:jc w:val="center"/>
            </w:pPr>
            <w:r>
              <w:rPr>
                <w:rFonts w:ascii="Calibri" w:hAnsi="Calibri"/>
                <w:color w:val="000000"/>
                <w:sz w:val="18"/>
              </w:rPr>
              <w:t>5</w:t>
            </w:r>
          </w:p>
        </w:tc>
        <w:tc>
          <w:tcPr>
            <w:tcW w:type="dxa" w:w="1260"/>
            <w:tcMar>
              <w:top w:w="80" w:type="dxa"/>
              <w:start w:w="120" w:type="dxa"/>
              <w:bottom w:w="80" w:type="dxa"/>
              <w:end w:w="120" w:type="dxa"/>
            </w:tcMar>
            <w:vAlign w:val="center"/>
          </w:tcPr>
          <w:p>
            <w:pPr>
              <w:spacing w:before="0" w:after="0" w:line="252" w:lineRule="auto"/>
              <w:jc w:val="center"/>
            </w:pPr>
            <w:r>
              <w:rPr>
                <w:rFonts w:ascii="Calibri" w:hAnsi="Calibri"/>
                <w:color w:val="000000"/>
                <w:sz w:val="18"/>
              </w:rPr>
              <w:t>7</w:t>
            </w:r>
          </w:p>
        </w:tc>
        <w:tc>
          <w:tcPr>
            <w:tcW w:type="dxa" w:w="1260"/>
            <w:tcMar>
              <w:top w:w="80" w:type="dxa"/>
              <w:start w:w="120" w:type="dxa"/>
              <w:bottom w:w="80" w:type="dxa"/>
              <w:end w:w="120" w:type="dxa"/>
            </w:tcMar>
            <w:vAlign w:val="center"/>
          </w:tcPr>
          <w:p>
            <w:pPr>
              <w:spacing w:before="0" w:after="0" w:line="252" w:lineRule="auto"/>
              <w:jc w:val="center"/>
            </w:pPr>
            <w:r>
              <w:rPr>
                <w:rFonts w:ascii="Calibri" w:hAnsi="Calibri"/>
                <w:color w:val="000000"/>
                <w:sz w:val="18"/>
              </w:rPr>
              <w:t>5</w:t>
            </w:r>
          </w:p>
        </w:tc>
      </w:tr>
    </w:tbl>
    <w:tbl>
      <w:tblPr>
        <w:tblW w:type="dxa" w:w="9360"/>
        <w:jc w:val="left"/>
        <w:tblLayout w:type="fixed"/>
        <w:tblLook w:firstColumn="1" w:firstRow="1" w:lastColumn="0" w:lastRow="0" w:noHBand="0" w:noVBand="1" w:val="04A0"/>
        <w:tblInd w:w="120" w:type="dxa"/>
        <w:tblBorders>
          <w:top w:val="single" w:sz="5" w:space="0" w:color="7FA37F"/>
          <w:left w:val="single" w:sz="5" w:space="0" w:color="7FA37F"/>
          <w:bottom w:val="single" w:sz="5" w:space="0" w:color="7FA37F"/>
          <w:right w:val="single" w:sz="5" w:space="0" w:color="7FA37F"/>
          <w:insideH w:val="single" w:sz="5" w:space="0" w:color="7FA37F"/>
          <w:insideV w:val="single" w:sz="5" w:space="0" w:color="7FA37F"/>
        </w:tblBorders>
      </w:tblPr>
      <w:tblGrid>
        <w:gridCol w:w="9360"/>
      </w:tblGrid>
      <w:tr>
        <w:tc>
          <w:tcPr>
            <w:tcW w:type="dxa" w:w="9360"/>
            <w:shd w:fill="EAF4EA"/>
            <w:tcMar>
              <w:top w:w="130" w:type="dxa"/>
              <w:start w:w="180" w:type="dxa"/>
              <w:bottom w:w="130" w:type="dxa"/>
              <w:end w:w="180" w:type="dxa"/>
            </w:tcMar>
          </w:tcPr>
          <w:p>
            <w:pPr>
              <w:spacing w:after="0" w:line="288" w:lineRule="auto"/>
            </w:pPr>
            <w:r>
              <w:rPr>
                <w:rFonts w:ascii="Calibri" w:hAnsi="Calibri"/>
                <w:b/>
                <w:color w:val="18324A"/>
                <w:sz w:val="21"/>
              </w:rPr>
              <w:t xml:space="preserve">Výsledek kontroly: </w:t>
            </w:r>
            <w:r>
              <w:rPr>
                <w:rFonts w:ascii="Calibri" w:hAnsi="Calibri"/>
                <w:color w:val="000000"/>
                <w:sz w:val="21"/>
              </w:rPr>
              <w:t>Globální počáteční rozsah je CH 4–10. Kouzelník začíná na CH 7–10, léčitel na CH 6–9 a ostatní povolání na CH 4–7. Nejnovější schválené levelování dává za každý nový Level +1 do jedné zvolené vlastnosti a stanoví přirozené maximum 20, takže všechna pásma CH jsou dosažitelná.</w:t>
            </w:r>
          </w:p>
        </w:tc>
      </w:tr>
    </w:tbl>
    <w:p>
      <w:pPr>
        <w:spacing w:after="20"/>
      </w:pPr>
    </w:p>
    <w:tbl>
      <w:tblPr>
        <w:tblW w:type="dxa" w:w="9360"/>
        <w:jc w:val="left"/>
        <w:tblLayout w:type="fixed"/>
        <w:tblLook w:firstColumn="1" w:firstRow="1" w:lastColumn="0" w:lastRow="0" w:noHBand="0" w:noVBand="1" w:val="04A0"/>
        <w:tblInd w:w="120" w:type="dxa"/>
        <w:tblBorders>
          <w:top w:val="single" w:sz="5" w:space="0" w:color="AAB7C4"/>
          <w:left w:val="single" w:sz="5" w:space="0" w:color="AAB7C4"/>
          <w:bottom w:val="single" w:sz="5" w:space="0" w:color="AAB7C4"/>
          <w:right w:val="single" w:sz="5" w:space="0" w:color="AAB7C4"/>
          <w:insideH w:val="single" w:sz="5" w:space="0" w:color="AAB7C4"/>
          <w:insideV w:val="single" w:sz="5" w:space="0" w:color="AAB7C4"/>
        </w:tblBorders>
      </w:tblPr>
      <w:tblGrid>
        <w:gridCol w:w="9360"/>
      </w:tblGrid>
      <w:tr>
        <w:tc>
          <w:tcPr>
            <w:tcW w:type="dxa" w:w="9360"/>
            <w:shd w:fill="F4F6F9"/>
            <w:tcMar>
              <w:top w:w="130" w:type="dxa"/>
              <w:start w:w="180" w:type="dxa"/>
              <w:bottom w:w="130" w:type="dxa"/>
              <w:end w:w="180" w:type="dxa"/>
            </w:tcMar>
          </w:tcPr>
          <w:p>
            <w:pPr>
              <w:spacing w:after="0" w:line="288" w:lineRule="auto"/>
            </w:pPr>
            <w:r>
              <w:rPr>
                <w:rFonts w:ascii="Calibri" w:hAnsi="Calibri"/>
                <w:b/>
                <w:color w:val="18324A"/>
                <w:sz w:val="21"/>
              </w:rPr>
              <w:t xml:space="preserve">Návaznost na levelování: </w:t>
            </w:r>
            <w:r>
              <w:rPr>
                <w:rFonts w:ascii="Calibri" w:hAnsi="Calibri"/>
                <w:color w:val="000000"/>
                <w:sz w:val="21"/>
              </w:rPr>
              <w:t>Hratelné jsou Levely 1–99; dosažením Levelu 100 hrdina odchází do Hvězdné síně slávy. V jednoduchém režimu bez XP a Levelů lze po významném dobrodružství zvýšit nejvýše jednu vlastnost o +1. Krátká epizoda ke zvýšení nestačí.</w:t>
            </w:r>
          </w:p>
        </w:tc>
      </w:tr>
    </w:tbl>
    <w:p>
      <w:pPr>
        <w:spacing w:after="20"/>
      </w:pPr>
    </w:p>
    <w:p>
      <w:pPr>
        <w:pStyle w:val="Heading2"/>
      </w:pPr>
      <w:r>
        <w:t>1.2 Dostupnost podle počáteční CH</w:t>
      </w:r>
    </w:p>
    <w:tbl>
      <w:tblPr>
        <w:tblW w:type="dxa" w:w="9360"/>
        <w:jc w:val="left"/>
        <w:tblLayout w:type="fixed"/>
        <w:tblLook w:firstColumn="1" w:firstRow="1" w:lastColumn="0" w:lastRow="0" w:noHBand="0" w:noVBand="1" w:val="04A0"/>
        <w:tblInd w:w="120" w:type="dxa"/>
        <w:tblBorders>
          <w:top w:val="single" w:sz="4" w:space="0" w:color="AAB7C4"/>
          <w:left w:val="single" w:sz="4" w:space="0" w:color="AAB7C4"/>
          <w:bottom w:val="single" w:sz="4" w:space="0" w:color="AAB7C4"/>
          <w:right w:val="single" w:sz="4" w:space="0" w:color="AAB7C4"/>
          <w:insideH w:val="single" w:sz="4" w:space="0" w:color="AAB7C4"/>
          <w:insideV w:val="single" w:sz="4" w:space="0" w:color="AAB7C4"/>
        </w:tblBorders>
      </w:tblPr>
      <w:tblGrid>
        <w:gridCol w:w="1200"/>
        <w:gridCol w:w="2100"/>
        <w:gridCol w:w="6060"/>
      </w:tblGrid>
      <w:tr>
        <w:trPr>
          <w:tblHeader w:val="true"/>
          <w:cantSplit/>
        </w:trPr>
        <w:tc>
          <w:tcPr>
            <w:tcW w:type="dxa" w:w="1200"/>
            <w:shd w:fill="E8EEF5"/>
            <w:tcMar>
              <w:top w:w="80" w:type="dxa"/>
              <w:start w:w="120" w:type="dxa"/>
              <w:bottom w:w="80" w:type="dxa"/>
              <w:end w:w="120" w:type="dxa"/>
            </w:tcMar>
            <w:vAlign w:val="center"/>
          </w:tcPr>
          <w:p>
            <w:pPr>
              <w:spacing w:before="0" w:after="0" w:line="240" w:lineRule="auto"/>
              <w:jc w:val="center"/>
            </w:pPr>
            <w:r>
              <w:rPr>
                <w:rFonts w:ascii="Calibri" w:hAnsi="Calibri"/>
                <w:b/>
                <w:color w:val="18324A"/>
                <w:sz w:val="18"/>
              </w:rPr>
              <w:t>CH</w:t>
            </w:r>
          </w:p>
        </w:tc>
        <w:tc>
          <w:tcPr>
            <w:tcW w:type="dxa" w:w="2100"/>
            <w:shd w:fill="E8EEF5"/>
            <w:tcMar>
              <w:top w:w="80" w:type="dxa"/>
              <w:start w:w="120" w:type="dxa"/>
              <w:bottom w:w="80" w:type="dxa"/>
              <w:end w:w="120" w:type="dxa"/>
            </w:tcMar>
            <w:vAlign w:val="center"/>
          </w:tcPr>
          <w:p>
            <w:pPr>
              <w:spacing w:before="0" w:after="0" w:line="240" w:lineRule="auto"/>
              <w:jc w:val="left"/>
            </w:pPr>
            <w:r>
              <w:rPr>
                <w:rFonts w:ascii="Calibri" w:hAnsi="Calibri"/>
                <w:b/>
                <w:color w:val="18324A"/>
                <w:sz w:val="18"/>
              </w:rPr>
              <w:t>Stupeň</w:t>
            </w:r>
          </w:p>
        </w:tc>
        <w:tc>
          <w:tcPr>
            <w:tcW w:type="dxa" w:w="6060"/>
            <w:shd w:fill="E8EEF5"/>
            <w:tcMar>
              <w:top w:w="80" w:type="dxa"/>
              <w:start w:w="120" w:type="dxa"/>
              <w:bottom w:w="80" w:type="dxa"/>
              <w:end w:w="120" w:type="dxa"/>
            </w:tcMar>
            <w:vAlign w:val="center"/>
          </w:tcPr>
          <w:p>
            <w:pPr>
              <w:spacing w:before="0" w:after="0" w:line="240" w:lineRule="auto"/>
              <w:jc w:val="left"/>
            </w:pPr>
            <w:r>
              <w:rPr>
                <w:rFonts w:ascii="Calibri" w:hAnsi="Calibri"/>
                <w:b/>
                <w:color w:val="18324A"/>
                <w:sz w:val="18"/>
              </w:rPr>
              <w:t>Reálná dostupnost</w:t>
            </w:r>
          </w:p>
        </w:tc>
      </w:tr>
      <w:tr>
        <w:trPr>
          <w:cantSplit/>
        </w:trPr>
        <w:tc>
          <w:tcPr>
            <w:tcW w:type="dxa" w:w="1200"/>
            <w:tcMar>
              <w:top w:w="80" w:type="dxa"/>
              <w:start w:w="120" w:type="dxa"/>
              <w:bottom w:w="80" w:type="dxa"/>
              <w:end w:w="120" w:type="dxa"/>
            </w:tcMar>
            <w:vAlign w:val="center"/>
          </w:tcPr>
          <w:p>
            <w:pPr>
              <w:spacing w:before="0" w:after="0" w:line="252" w:lineRule="auto"/>
              <w:jc w:val="center"/>
            </w:pPr>
            <w:r>
              <w:rPr>
                <w:rFonts w:ascii="Calibri" w:hAnsi="Calibri"/>
                <w:color w:val="000000"/>
                <w:sz w:val="18"/>
              </w:rPr>
              <w:t>CH 5–6</w:t>
            </w:r>
          </w:p>
        </w:tc>
        <w:tc>
          <w:tcPr>
            <w:tcW w:type="dxa" w:w="2100"/>
            <w:tcMar>
              <w:top w:w="80" w:type="dxa"/>
              <w:start w:w="120" w:type="dxa"/>
              <w:bottom w:w="80" w:type="dxa"/>
              <w:end w:w="120" w:type="dxa"/>
            </w:tcMar>
            <w:vAlign w:val="center"/>
          </w:tcPr>
          <w:p>
            <w:pPr>
              <w:spacing w:before="0" w:after="0" w:line="252" w:lineRule="auto"/>
              <w:jc w:val="left"/>
            </w:pPr>
            <w:r>
              <w:rPr>
                <w:rFonts w:ascii="Calibri" w:hAnsi="Calibri"/>
                <w:color w:val="000000"/>
                <w:sz w:val="18"/>
              </w:rPr>
              <w:t>Velmi jednoduchá</w:t>
            </w:r>
          </w:p>
        </w:tc>
        <w:tc>
          <w:tcPr>
            <w:tcW w:type="dxa" w:w="6060"/>
            <w:tcMar>
              <w:top w:w="80" w:type="dxa"/>
              <w:start w:w="120" w:type="dxa"/>
              <w:bottom w:w="80" w:type="dxa"/>
              <w:end w:w="120" w:type="dxa"/>
            </w:tcMar>
            <w:vAlign w:val="center"/>
          </w:tcPr>
          <w:p>
            <w:pPr>
              <w:spacing w:before="0" w:after="0" w:line="252" w:lineRule="auto"/>
              <w:jc w:val="left"/>
            </w:pPr>
            <w:r>
              <w:rPr>
                <w:rFonts w:ascii="Calibri" w:hAnsi="Calibri"/>
                <w:color w:val="000000"/>
                <w:sz w:val="18"/>
              </w:rPr>
              <w:t>Obecné triky; všechna magická povolání, část ostatních postav. Ork mimo kouzelníka/léčitele začíná pod prahem.</w:t>
            </w:r>
          </w:p>
        </w:tc>
      </w:tr>
      <w:tr>
        <w:trPr>
          <w:cantSplit/>
        </w:trPr>
        <w:tc>
          <w:tcPr>
            <w:tcW w:type="dxa" w:w="1200"/>
            <w:tcMar>
              <w:top w:w="80" w:type="dxa"/>
              <w:start w:w="120" w:type="dxa"/>
              <w:bottom w:w="80" w:type="dxa"/>
              <w:end w:w="120" w:type="dxa"/>
            </w:tcMar>
            <w:vAlign w:val="center"/>
          </w:tcPr>
          <w:p>
            <w:pPr>
              <w:spacing w:before="0" w:after="0" w:line="252" w:lineRule="auto"/>
              <w:jc w:val="center"/>
            </w:pPr>
            <w:r>
              <w:rPr>
                <w:rFonts w:ascii="Calibri" w:hAnsi="Calibri"/>
                <w:color w:val="000000"/>
                <w:sz w:val="18"/>
              </w:rPr>
              <w:t>CH 7–8</w:t>
            </w:r>
          </w:p>
        </w:tc>
        <w:tc>
          <w:tcPr>
            <w:tcW w:type="dxa" w:w="2100"/>
            <w:tcMar>
              <w:top w:w="80" w:type="dxa"/>
              <w:start w:w="120" w:type="dxa"/>
              <w:bottom w:w="80" w:type="dxa"/>
              <w:end w:w="120" w:type="dxa"/>
            </w:tcMar>
            <w:vAlign w:val="center"/>
          </w:tcPr>
          <w:p>
            <w:pPr>
              <w:spacing w:before="0" w:after="0" w:line="252" w:lineRule="auto"/>
              <w:jc w:val="left"/>
            </w:pPr>
            <w:r>
              <w:rPr>
                <w:rFonts w:ascii="Calibri" w:hAnsi="Calibri"/>
                <w:color w:val="000000"/>
                <w:sz w:val="18"/>
              </w:rPr>
              <w:t>Základní / běžná</w:t>
            </w:r>
          </w:p>
        </w:tc>
        <w:tc>
          <w:tcPr>
            <w:tcW w:type="dxa" w:w="6060"/>
            <w:tcMar>
              <w:top w:w="80" w:type="dxa"/>
              <w:start w:w="120" w:type="dxa"/>
              <w:bottom w:w="80" w:type="dxa"/>
              <w:end w:w="120" w:type="dxa"/>
            </w:tcMar>
            <w:vAlign w:val="center"/>
          </w:tcPr>
          <w:p>
            <w:pPr>
              <w:spacing w:before="0" w:after="0" w:line="252" w:lineRule="auto"/>
              <w:jc w:val="left"/>
            </w:pPr>
            <w:r>
              <w:rPr>
                <w:rFonts w:ascii="Calibri" w:hAnsi="Calibri"/>
                <w:color w:val="000000"/>
                <w:sz w:val="18"/>
              </w:rPr>
              <w:t>Všichni kouzelníci; většina léčitelů; také elfí bojovník, hraničář, zloděj a bard. Ostatní postavy se sem mohou dostat rozvojem.</w:t>
            </w:r>
          </w:p>
        </w:tc>
      </w:tr>
      <w:tr>
        <w:trPr>
          <w:cantSplit/>
        </w:trPr>
        <w:tc>
          <w:tcPr>
            <w:tcW w:type="dxa" w:w="1200"/>
            <w:tcMar>
              <w:top w:w="80" w:type="dxa"/>
              <w:start w:w="120" w:type="dxa"/>
              <w:bottom w:w="80" w:type="dxa"/>
              <w:end w:w="120" w:type="dxa"/>
            </w:tcMar>
            <w:vAlign w:val="center"/>
          </w:tcPr>
          <w:p>
            <w:pPr>
              <w:spacing w:before="0" w:after="0" w:line="252" w:lineRule="auto"/>
              <w:jc w:val="center"/>
            </w:pPr>
            <w:r>
              <w:rPr>
                <w:rFonts w:ascii="Calibri" w:hAnsi="Calibri"/>
                <w:color w:val="000000"/>
                <w:sz w:val="18"/>
              </w:rPr>
              <w:t>CH 9–10</w:t>
            </w:r>
          </w:p>
        </w:tc>
        <w:tc>
          <w:tcPr>
            <w:tcW w:type="dxa" w:w="2100"/>
            <w:tcMar>
              <w:top w:w="80" w:type="dxa"/>
              <w:start w:w="120" w:type="dxa"/>
              <w:bottom w:w="80" w:type="dxa"/>
              <w:end w:w="120" w:type="dxa"/>
            </w:tcMar>
            <w:vAlign w:val="center"/>
          </w:tcPr>
          <w:p>
            <w:pPr>
              <w:spacing w:before="0" w:after="0" w:line="252" w:lineRule="auto"/>
              <w:jc w:val="left"/>
            </w:pPr>
            <w:r>
              <w:rPr>
                <w:rFonts w:ascii="Calibri" w:hAnsi="Calibri"/>
                <w:color w:val="000000"/>
                <w:sz w:val="18"/>
              </w:rPr>
              <w:t>Pokročilá</w:t>
            </w:r>
          </w:p>
        </w:tc>
        <w:tc>
          <w:tcPr>
            <w:tcW w:type="dxa" w:w="6060"/>
            <w:tcMar>
              <w:top w:w="80" w:type="dxa"/>
              <w:start w:w="120" w:type="dxa"/>
              <w:bottom w:w="80" w:type="dxa"/>
              <w:end w:w="120" w:type="dxa"/>
            </w:tcMar>
            <w:vAlign w:val="center"/>
          </w:tcPr>
          <w:p>
            <w:pPr>
              <w:spacing w:before="0" w:after="0" w:line="252" w:lineRule="auto"/>
              <w:jc w:val="left"/>
            </w:pPr>
            <w:r>
              <w:rPr>
                <w:rFonts w:ascii="Calibri" w:hAnsi="Calibri"/>
                <w:color w:val="000000"/>
                <w:sz w:val="18"/>
              </w:rPr>
              <w:t>Elfí léčitel začíná na CH 9 a elfí kouzelník na CH 10; ostatní postavy se sem mohou dostat růstem.</w:t>
            </w:r>
          </w:p>
        </w:tc>
      </w:tr>
      <w:tr>
        <w:trPr>
          <w:cantSplit/>
        </w:trPr>
        <w:tc>
          <w:tcPr>
            <w:tcW w:type="dxa" w:w="1200"/>
            <w:tcMar>
              <w:top w:w="80" w:type="dxa"/>
              <w:start w:w="120" w:type="dxa"/>
              <w:bottom w:w="80" w:type="dxa"/>
              <w:end w:w="120" w:type="dxa"/>
            </w:tcMar>
            <w:vAlign w:val="center"/>
          </w:tcPr>
          <w:p>
            <w:pPr>
              <w:spacing w:before="0" w:after="0" w:line="252" w:lineRule="auto"/>
              <w:jc w:val="center"/>
            </w:pPr>
            <w:r>
              <w:rPr>
                <w:rFonts w:ascii="Calibri" w:hAnsi="Calibri"/>
                <w:color w:val="000000"/>
                <w:sz w:val="18"/>
              </w:rPr>
              <w:t>CH 11–13</w:t>
            </w:r>
          </w:p>
        </w:tc>
        <w:tc>
          <w:tcPr>
            <w:tcW w:type="dxa" w:w="2100"/>
            <w:tcMar>
              <w:top w:w="80" w:type="dxa"/>
              <w:start w:w="120" w:type="dxa"/>
              <w:bottom w:w="80" w:type="dxa"/>
              <w:end w:w="120" w:type="dxa"/>
            </w:tcMar>
            <w:vAlign w:val="center"/>
          </w:tcPr>
          <w:p>
            <w:pPr>
              <w:spacing w:before="0" w:after="0" w:line="252" w:lineRule="auto"/>
              <w:jc w:val="left"/>
            </w:pPr>
            <w:r>
              <w:rPr>
                <w:rFonts w:ascii="Calibri" w:hAnsi="Calibri"/>
                <w:color w:val="000000"/>
                <w:sz w:val="18"/>
              </w:rPr>
              <w:t>Silná</w:t>
            </w:r>
          </w:p>
        </w:tc>
        <w:tc>
          <w:tcPr>
            <w:tcW w:type="dxa" w:w="6060"/>
            <w:tcMar>
              <w:top w:w="80" w:type="dxa"/>
              <w:start w:w="120" w:type="dxa"/>
              <w:bottom w:w="80" w:type="dxa"/>
              <w:end w:w="120" w:type="dxa"/>
            </w:tcMar>
            <w:vAlign w:val="center"/>
          </w:tcPr>
          <w:p>
            <w:pPr>
              <w:spacing w:before="0" w:after="0" w:line="252" w:lineRule="auto"/>
              <w:jc w:val="left"/>
            </w:pPr>
            <w:r>
              <w:rPr>
                <w:rFonts w:ascii="Calibri" w:hAnsi="Calibri"/>
                <w:color w:val="000000"/>
                <w:sz w:val="18"/>
              </w:rPr>
              <w:t>Dosažitelná levelováním. Elfí kouzelník začínající na CH 10 může dosáhnout CH 11 nejdříve na Levelu 2.</w:t>
            </w:r>
          </w:p>
        </w:tc>
      </w:tr>
      <w:tr>
        <w:trPr>
          <w:cantSplit/>
        </w:trPr>
        <w:tc>
          <w:tcPr>
            <w:tcW w:type="dxa" w:w="1200"/>
            <w:tcMar>
              <w:top w:w="80" w:type="dxa"/>
              <w:start w:w="120" w:type="dxa"/>
              <w:bottom w:w="80" w:type="dxa"/>
              <w:end w:w="120" w:type="dxa"/>
            </w:tcMar>
            <w:vAlign w:val="center"/>
          </w:tcPr>
          <w:p>
            <w:pPr>
              <w:spacing w:before="0" w:after="0" w:line="252" w:lineRule="auto"/>
              <w:jc w:val="center"/>
            </w:pPr>
            <w:r>
              <w:rPr>
                <w:rFonts w:ascii="Calibri" w:hAnsi="Calibri"/>
                <w:color w:val="000000"/>
                <w:sz w:val="18"/>
              </w:rPr>
              <w:t>CH 14+</w:t>
            </w:r>
          </w:p>
        </w:tc>
        <w:tc>
          <w:tcPr>
            <w:tcW w:type="dxa" w:w="2100"/>
            <w:tcMar>
              <w:top w:w="80" w:type="dxa"/>
              <w:start w:w="120" w:type="dxa"/>
              <w:bottom w:w="80" w:type="dxa"/>
              <w:end w:w="120" w:type="dxa"/>
            </w:tcMar>
            <w:vAlign w:val="center"/>
          </w:tcPr>
          <w:p>
            <w:pPr>
              <w:spacing w:before="0" w:after="0" w:line="252" w:lineRule="auto"/>
              <w:jc w:val="left"/>
            </w:pPr>
            <w:r>
              <w:rPr>
                <w:rFonts w:ascii="Calibri" w:hAnsi="Calibri"/>
                <w:color w:val="000000"/>
                <w:sz w:val="18"/>
              </w:rPr>
              <w:t>Velmi pokročilá</w:t>
            </w:r>
          </w:p>
        </w:tc>
        <w:tc>
          <w:tcPr>
            <w:tcW w:type="dxa" w:w="6060"/>
            <w:tcMar>
              <w:top w:w="80" w:type="dxa"/>
              <w:start w:w="120" w:type="dxa"/>
              <w:bottom w:w="80" w:type="dxa"/>
              <w:end w:w="120" w:type="dxa"/>
            </w:tcMar>
            <w:vAlign w:val="center"/>
          </w:tcPr>
          <w:p>
            <w:pPr>
              <w:spacing w:before="0" w:after="0" w:line="252" w:lineRule="auto"/>
              <w:jc w:val="left"/>
            </w:pPr>
            <w:r>
              <w:rPr>
                <w:rFonts w:ascii="Calibri" w:hAnsi="Calibri"/>
                <w:color w:val="000000"/>
                <w:sz w:val="18"/>
              </w:rPr>
              <w:t>Dosažitelná levelováním do maxima 20. Elfí kouzelník může dosáhnout CH 14 nejdříve na Levelu 5, pokud všechny levelové body do té doby vloží do Chytrosti; Hvězdná magie má navíc Min. Level 12+.</w:t>
            </w:r>
          </w:p>
        </w:tc>
      </w:tr>
    </w:tbl>
    <w:p>
      <w:pPr>
        <w:pStyle w:val="Heading1"/>
      </w:pPr>
      <w:r>
        <w:t>2. Definitivní pravidla a stav společných mechanik</w:t>
      </w:r>
    </w:p>
    <w:p>
      <w:pPr>
        <w:pStyle w:val="Heading2"/>
      </w:pPr>
      <w:r>
        <w:t>2.1 Definitivní vzorce</w:t>
      </w:r>
    </w:p>
    <w:p>
      <w:pPr>
        <w:pStyle w:val="ListBullet"/>
        <w:ind w:left="540" w:hanging="271"/>
      </w:pPr>
      <w:r>
        <w:rPr>
          <w:rFonts w:ascii="Calibri" w:hAnsi="Calibri"/>
          <w:color w:val="000000"/>
          <w:sz w:val="21"/>
        </w:rPr>
        <w:t xml:space="preserve"> BŠ = zaokrouhlení Š / 3 nahoru.</w:t>
      </w:r>
    </w:p>
    <w:p>
      <w:pPr>
        <w:pStyle w:val="ListBullet"/>
        <w:ind w:left="540" w:hanging="271"/>
      </w:pPr>
      <w:r>
        <w:rPr>
          <w:rFonts w:ascii="Calibri" w:hAnsi="Calibri"/>
          <w:color w:val="000000"/>
          <w:sz w:val="21"/>
        </w:rPr>
        <w:t xml:space="preserve"> Upravený bonus kouzla = bonus kouzla × koeficient Magie povolání; zaokrouhlení na nejbližší celé číslo, přesně 0,5 nahoru.</w:t>
      </w:r>
    </w:p>
    <w:p>
      <w:pPr>
        <w:pStyle w:val="ListBullet"/>
        <w:ind w:left="540" w:hanging="271"/>
      </w:pPr>
      <w:r>
        <w:rPr>
          <w:rFonts w:ascii="Calibri" w:hAnsi="Calibri"/>
          <w:color w:val="000000"/>
          <w:sz w:val="21"/>
        </w:rPr>
        <w:t xml:space="preserve"> MÚ = CH + upravený bonus kouzla + BŠ + součet použitelných předmětových bonusů +MÚ.</w:t>
      </w:r>
    </w:p>
    <w:p>
      <w:pPr>
        <w:pStyle w:val="ListBullet"/>
        <w:ind w:left="540" w:hanging="271"/>
      </w:pPr>
      <w:r>
        <w:rPr>
          <w:rFonts w:ascii="Calibri" w:hAnsi="Calibri"/>
          <w:color w:val="000000"/>
          <w:sz w:val="21"/>
        </w:rPr>
        <w:t xml:space="preserve"> MAGICKÝ ÚTOK = MÚ + bonus virtuálního hodu.</w:t>
      </w:r>
    </w:p>
    <w:p>
      <w:pPr>
        <w:pStyle w:val="ListBullet"/>
        <w:ind w:left="540" w:hanging="271"/>
      </w:pPr>
      <w:r>
        <w:rPr>
          <w:rFonts w:ascii="Calibri" w:hAnsi="Calibri"/>
          <w:color w:val="000000"/>
          <w:sz w:val="21"/>
        </w:rPr>
        <w:t xml:space="preserve"> MO = CH + BŠ + bonus magické ochrany.</w:t>
      </w:r>
    </w:p>
    <w:p>
      <w:pPr>
        <w:pStyle w:val="ListBullet"/>
        <w:ind w:left="540" w:hanging="271"/>
      </w:pPr>
      <w:r>
        <w:rPr>
          <w:rFonts w:ascii="Calibri" w:hAnsi="Calibri"/>
          <w:color w:val="000000"/>
          <w:sz w:val="21"/>
        </w:rPr>
        <w:t xml:space="preserve"> MAGICKÁ OBRANA = MO + bonus virtuálního hodu.</w:t>
      </w:r>
    </w:p>
    <w:p>
      <w:pPr>
        <w:pStyle w:val="ListBullet"/>
        <w:ind w:left="540" w:hanging="271"/>
      </w:pPr>
      <w:r>
        <w:rPr>
          <w:rFonts w:ascii="Calibri" w:hAnsi="Calibri"/>
          <w:color w:val="000000"/>
          <w:sz w:val="21"/>
        </w:rPr>
        <w:t xml:space="preserve"> Magické zranění = MAGICKÝ ÚTOK − MAGICKÁ OBRANA; výsledek 0 nebo méně znamená 0 zranění.</w:t>
      </w:r>
    </w:p>
    <w:p>
      <w:pPr>
        <w:pStyle w:val="Heading2"/>
      </w:pPr>
      <w:r>
        <w:t>2.2 Koeficienty povolání</w:t>
      </w:r>
    </w:p>
    <w:tbl>
      <w:tblPr>
        <w:tblW w:type="dxa" w:w="9360"/>
        <w:jc w:val="left"/>
        <w:tblLayout w:type="fixed"/>
        <w:tblLook w:firstColumn="1" w:firstRow="1" w:lastColumn="0" w:lastRow="0" w:noHBand="0" w:noVBand="1" w:val="04A0"/>
        <w:tblInd w:w="120" w:type="dxa"/>
        <w:tblBorders>
          <w:top w:val="single" w:sz="4" w:space="0" w:color="AAB7C4"/>
          <w:left w:val="single" w:sz="4" w:space="0" w:color="AAB7C4"/>
          <w:bottom w:val="single" w:sz="4" w:space="0" w:color="AAB7C4"/>
          <w:right w:val="single" w:sz="4" w:space="0" w:color="AAB7C4"/>
          <w:insideH w:val="single" w:sz="4" w:space="0" w:color="AAB7C4"/>
          <w:insideV w:val="single" w:sz="4" w:space="0" w:color="AAB7C4"/>
        </w:tblBorders>
      </w:tblPr>
      <w:tblGrid>
        <w:gridCol w:w="3300"/>
        <w:gridCol w:w="3030"/>
        <w:gridCol w:w="3030"/>
      </w:tblGrid>
      <w:tr>
        <w:trPr>
          <w:tblHeader w:val="true"/>
          <w:cantSplit/>
        </w:trPr>
        <w:tc>
          <w:tcPr>
            <w:tcW w:type="dxa" w:w="3300"/>
            <w:shd w:fill="E8EEF5"/>
            <w:tcMar>
              <w:top w:w="80" w:type="dxa"/>
              <w:start w:w="120" w:type="dxa"/>
              <w:bottom w:w="80" w:type="dxa"/>
              <w:end w:w="120" w:type="dxa"/>
            </w:tcMar>
            <w:vAlign w:val="center"/>
          </w:tcPr>
          <w:p>
            <w:pPr>
              <w:spacing w:before="0" w:after="0" w:line="240" w:lineRule="auto"/>
              <w:jc w:val="left"/>
            </w:pPr>
            <w:r>
              <w:rPr>
                <w:rFonts w:ascii="Calibri" w:hAnsi="Calibri"/>
                <w:b/>
                <w:color w:val="18324A"/>
                <w:sz w:val="18"/>
              </w:rPr>
              <w:t>Povolání</w:t>
            </w:r>
          </w:p>
        </w:tc>
        <w:tc>
          <w:tcPr>
            <w:tcW w:type="dxa" w:w="3030"/>
            <w:shd w:fill="E8EEF5"/>
            <w:tcMar>
              <w:top w:w="80" w:type="dxa"/>
              <w:start w:w="120" w:type="dxa"/>
              <w:bottom w:w="80" w:type="dxa"/>
              <w:end w:w="120" w:type="dxa"/>
            </w:tcMar>
            <w:vAlign w:val="center"/>
          </w:tcPr>
          <w:p>
            <w:pPr>
              <w:spacing w:before="0" w:after="0" w:line="240" w:lineRule="auto"/>
              <w:jc w:val="center"/>
            </w:pPr>
            <w:r>
              <w:rPr>
                <w:rFonts w:ascii="Calibri" w:hAnsi="Calibri"/>
                <w:b/>
                <w:color w:val="18324A"/>
                <w:sz w:val="18"/>
              </w:rPr>
              <w:t>Magie</w:t>
            </w:r>
          </w:p>
        </w:tc>
        <w:tc>
          <w:tcPr>
            <w:tcW w:type="dxa" w:w="3030"/>
            <w:shd w:fill="E8EEF5"/>
            <w:tcMar>
              <w:top w:w="80" w:type="dxa"/>
              <w:start w:w="120" w:type="dxa"/>
              <w:bottom w:w="80" w:type="dxa"/>
              <w:end w:w="120" w:type="dxa"/>
            </w:tcMar>
            <w:vAlign w:val="center"/>
          </w:tcPr>
          <w:p>
            <w:pPr>
              <w:spacing w:before="0" w:after="0" w:line="240" w:lineRule="auto"/>
              <w:jc w:val="center"/>
            </w:pPr>
            <w:r>
              <w:rPr>
                <w:rFonts w:ascii="Calibri" w:hAnsi="Calibri"/>
                <w:b/>
                <w:color w:val="18324A"/>
                <w:sz w:val="18"/>
              </w:rPr>
              <w:t>Léčení</w:t>
            </w:r>
          </w:p>
        </w:tc>
      </w:tr>
      <w:tr>
        <w:trPr>
          <w:cantSplit/>
        </w:trPr>
        <w:tc>
          <w:tcPr>
            <w:tcW w:type="dxa" w:w="3300"/>
            <w:tcMar>
              <w:top w:w="80" w:type="dxa"/>
              <w:start w:w="120" w:type="dxa"/>
              <w:bottom w:w="80" w:type="dxa"/>
              <w:end w:w="120" w:type="dxa"/>
            </w:tcMar>
            <w:vAlign w:val="center"/>
          </w:tcPr>
          <w:p>
            <w:pPr>
              <w:spacing w:before="0" w:after="0" w:line="252" w:lineRule="auto"/>
              <w:jc w:val="left"/>
            </w:pPr>
            <w:r>
              <w:rPr>
                <w:rFonts w:ascii="Calibri" w:hAnsi="Calibri"/>
                <w:color w:val="000000"/>
                <w:sz w:val="18"/>
              </w:rPr>
              <w:t>Kouzelník</w:t>
            </w:r>
          </w:p>
        </w:tc>
        <w:tc>
          <w:tcPr>
            <w:tcW w:type="dxa" w:w="3030"/>
            <w:tcMar>
              <w:top w:w="80" w:type="dxa"/>
              <w:start w:w="120" w:type="dxa"/>
              <w:bottom w:w="80" w:type="dxa"/>
              <w:end w:w="120" w:type="dxa"/>
            </w:tcMar>
            <w:vAlign w:val="center"/>
          </w:tcPr>
          <w:p>
            <w:pPr>
              <w:spacing w:before="0" w:after="0" w:line="252" w:lineRule="auto"/>
              <w:jc w:val="center"/>
            </w:pPr>
            <w:r>
              <w:rPr>
                <w:rFonts w:ascii="Calibri" w:hAnsi="Calibri"/>
                <w:color w:val="000000"/>
                <w:sz w:val="18"/>
              </w:rPr>
              <w:t>1,00</w:t>
            </w:r>
          </w:p>
        </w:tc>
        <w:tc>
          <w:tcPr>
            <w:tcW w:type="dxa" w:w="3030"/>
            <w:tcMar>
              <w:top w:w="80" w:type="dxa"/>
              <w:start w:w="120" w:type="dxa"/>
              <w:bottom w:w="80" w:type="dxa"/>
              <w:end w:w="120" w:type="dxa"/>
            </w:tcMar>
            <w:vAlign w:val="center"/>
          </w:tcPr>
          <w:p>
            <w:pPr>
              <w:spacing w:before="0" w:after="0" w:line="252" w:lineRule="auto"/>
              <w:jc w:val="center"/>
            </w:pPr>
            <w:r>
              <w:rPr>
                <w:rFonts w:ascii="Calibri" w:hAnsi="Calibri"/>
                <w:color w:val="000000"/>
                <w:sz w:val="18"/>
              </w:rPr>
              <w:t>0,50</w:t>
            </w:r>
          </w:p>
        </w:tc>
      </w:tr>
      <w:tr>
        <w:trPr>
          <w:cantSplit/>
        </w:trPr>
        <w:tc>
          <w:tcPr>
            <w:tcW w:type="dxa" w:w="3300"/>
            <w:tcMar>
              <w:top w:w="80" w:type="dxa"/>
              <w:start w:w="120" w:type="dxa"/>
              <w:bottom w:w="80" w:type="dxa"/>
              <w:end w:w="120" w:type="dxa"/>
            </w:tcMar>
            <w:vAlign w:val="center"/>
          </w:tcPr>
          <w:p>
            <w:pPr>
              <w:spacing w:before="0" w:after="0" w:line="252" w:lineRule="auto"/>
              <w:jc w:val="left"/>
            </w:pPr>
            <w:r>
              <w:rPr>
                <w:rFonts w:ascii="Calibri" w:hAnsi="Calibri"/>
                <w:color w:val="000000"/>
                <w:sz w:val="18"/>
              </w:rPr>
              <w:t>Hraničář</w:t>
            </w:r>
          </w:p>
        </w:tc>
        <w:tc>
          <w:tcPr>
            <w:tcW w:type="dxa" w:w="3030"/>
            <w:tcMar>
              <w:top w:w="80" w:type="dxa"/>
              <w:start w:w="120" w:type="dxa"/>
              <w:bottom w:w="80" w:type="dxa"/>
              <w:end w:w="120" w:type="dxa"/>
            </w:tcMar>
            <w:vAlign w:val="center"/>
          </w:tcPr>
          <w:p>
            <w:pPr>
              <w:spacing w:before="0" w:after="0" w:line="252" w:lineRule="auto"/>
              <w:jc w:val="center"/>
            </w:pPr>
            <w:r>
              <w:rPr>
                <w:rFonts w:ascii="Calibri" w:hAnsi="Calibri"/>
                <w:color w:val="000000"/>
                <w:sz w:val="18"/>
              </w:rPr>
              <w:t>0,75</w:t>
            </w:r>
          </w:p>
        </w:tc>
        <w:tc>
          <w:tcPr>
            <w:tcW w:type="dxa" w:w="3030"/>
            <w:tcMar>
              <w:top w:w="80" w:type="dxa"/>
              <w:start w:w="120" w:type="dxa"/>
              <w:bottom w:w="80" w:type="dxa"/>
              <w:end w:w="120" w:type="dxa"/>
            </w:tcMar>
            <w:vAlign w:val="center"/>
          </w:tcPr>
          <w:p>
            <w:pPr>
              <w:spacing w:before="0" w:after="0" w:line="252" w:lineRule="auto"/>
              <w:jc w:val="center"/>
            </w:pPr>
            <w:r>
              <w:rPr>
                <w:rFonts w:ascii="Calibri" w:hAnsi="Calibri"/>
                <w:color w:val="000000"/>
                <w:sz w:val="18"/>
              </w:rPr>
              <w:t>0,75</w:t>
            </w:r>
          </w:p>
        </w:tc>
      </w:tr>
      <w:tr>
        <w:trPr>
          <w:cantSplit/>
        </w:trPr>
        <w:tc>
          <w:tcPr>
            <w:tcW w:type="dxa" w:w="3300"/>
            <w:tcMar>
              <w:top w:w="80" w:type="dxa"/>
              <w:start w:w="120" w:type="dxa"/>
              <w:bottom w:w="80" w:type="dxa"/>
              <w:end w:w="120" w:type="dxa"/>
            </w:tcMar>
            <w:vAlign w:val="center"/>
          </w:tcPr>
          <w:p>
            <w:pPr>
              <w:spacing w:before="0" w:after="0" w:line="252" w:lineRule="auto"/>
              <w:jc w:val="left"/>
            </w:pPr>
            <w:r>
              <w:rPr>
                <w:rFonts w:ascii="Calibri" w:hAnsi="Calibri"/>
                <w:color w:val="000000"/>
                <w:sz w:val="18"/>
              </w:rPr>
              <w:t>Léčitel</w:t>
            </w:r>
          </w:p>
        </w:tc>
        <w:tc>
          <w:tcPr>
            <w:tcW w:type="dxa" w:w="3030"/>
            <w:tcMar>
              <w:top w:w="80" w:type="dxa"/>
              <w:start w:w="120" w:type="dxa"/>
              <w:bottom w:w="80" w:type="dxa"/>
              <w:end w:w="120" w:type="dxa"/>
            </w:tcMar>
            <w:vAlign w:val="center"/>
          </w:tcPr>
          <w:p>
            <w:pPr>
              <w:spacing w:before="0" w:after="0" w:line="252" w:lineRule="auto"/>
              <w:jc w:val="center"/>
            </w:pPr>
            <w:r>
              <w:rPr>
                <w:rFonts w:ascii="Calibri" w:hAnsi="Calibri"/>
                <w:color w:val="000000"/>
                <w:sz w:val="18"/>
              </w:rPr>
              <w:t>0,75</w:t>
            </w:r>
          </w:p>
        </w:tc>
        <w:tc>
          <w:tcPr>
            <w:tcW w:type="dxa" w:w="3030"/>
            <w:tcMar>
              <w:top w:w="80" w:type="dxa"/>
              <w:start w:w="120" w:type="dxa"/>
              <w:bottom w:w="80" w:type="dxa"/>
              <w:end w:w="120" w:type="dxa"/>
            </w:tcMar>
            <w:vAlign w:val="center"/>
          </w:tcPr>
          <w:p>
            <w:pPr>
              <w:spacing w:before="0" w:after="0" w:line="252" w:lineRule="auto"/>
              <w:jc w:val="center"/>
            </w:pPr>
            <w:r>
              <w:rPr>
                <w:rFonts w:ascii="Calibri" w:hAnsi="Calibri"/>
                <w:color w:val="000000"/>
                <w:sz w:val="18"/>
              </w:rPr>
              <w:t>1,00</w:t>
            </w:r>
          </w:p>
        </w:tc>
      </w:tr>
      <w:tr>
        <w:trPr>
          <w:cantSplit/>
        </w:trPr>
        <w:tc>
          <w:tcPr>
            <w:tcW w:type="dxa" w:w="3300"/>
            <w:tcMar>
              <w:top w:w="80" w:type="dxa"/>
              <w:start w:w="120" w:type="dxa"/>
              <w:bottom w:w="80" w:type="dxa"/>
              <w:end w:w="120" w:type="dxa"/>
            </w:tcMar>
            <w:vAlign w:val="center"/>
          </w:tcPr>
          <w:p>
            <w:pPr>
              <w:spacing w:before="0" w:after="0" w:line="252" w:lineRule="auto"/>
              <w:jc w:val="left"/>
            </w:pPr>
            <w:r>
              <w:rPr>
                <w:rFonts w:ascii="Calibri" w:hAnsi="Calibri"/>
                <w:color w:val="000000"/>
                <w:sz w:val="18"/>
              </w:rPr>
              <w:t>Zloděj</w:t>
            </w:r>
          </w:p>
        </w:tc>
        <w:tc>
          <w:tcPr>
            <w:tcW w:type="dxa" w:w="3030"/>
            <w:tcMar>
              <w:top w:w="80" w:type="dxa"/>
              <w:start w:w="120" w:type="dxa"/>
              <w:bottom w:w="80" w:type="dxa"/>
              <w:end w:w="120" w:type="dxa"/>
            </w:tcMar>
            <w:vAlign w:val="center"/>
          </w:tcPr>
          <w:p>
            <w:pPr>
              <w:spacing w:before="0" w:after="0" w:line="252" w:lineRule="auto"/>
              <w:jc w:val="center"/>
            </w:pPr>
            <w:r>
              <w:rPr>
                <w:rFonts w:ascii="Calibri" w:hAnsi="Calibri"/>
                <w:color w:val="000000"/>
                <w:sz w:val="18"/>
              </w:rPr>
              <w:t>0,50</w:t>
            </w:r>
          </w:p>
        </w:tc>
        <w:tc>
          <w:tcPr>
            <w:tcW w:type="dxa" w:w="3030"/>
            <w:tcMar>
              <w:top w:w="80" w:type="dxa"/>
              <w:start w:w="120" w:type="dxa"/>
              <w:bottom w:w="80" w:type="dxa"/>
              <w:end w:w="120" w:type="dxa"/>
            </w:tcMar>
            <w:vAlign w:val="center"/>
          </w:tcPr>
          <w:p>
            <w:pPr>
              <w:spacing w:before="0" w:after="0" w:line="252" w:lineRule="auto"/>
              <w:jc w:val="center"/>
            </w:pPr>
            <w:r>
              <w:rPr>
                <w:rFonts w:ascii="Calibri" w:hAnsi="Calibri"/>
                <w:color w:val="000000"/>
                <w:sz w:val="18"/>
              </w:rPr>
              <w:t>0,25</w:t>
            </w:r>
          </w:p>
        </w:tc>
      </w:tr>
      <w:tr>
        <w:trPr>
          <w:cantSplit/>
        </w:trPr>
        <w:tc>
          <w:tcPr>
            <w:tcW w:type="dxa" w:w="3300"/>
            <w:tcMar>
              <w:top w:w="80" w:type="dxa"/>
              <w:start w:w="120" w:type="dxa"/>
              <w:bottom w:w="80" w:type="dxa"/>
              <w:end w:w="120" w:type="dxa"/>
            </w:tcMar>
            <w:vAlign w:val="center"/>
          </w:tcPr>
          <w:p>
            <w:pPr>
              <w:spacing w:before="0" w:after="0" w:line="252" w:lineRule="auto"/>
              <w:jc w:val="left"/>
            </w:pPr>
            <w:r>
              <w:rPr>
                <w:rFonts w:ascii="Calibri" w:hAnsi="Calibri"/>
                <w:color w:val="000000"/>
                <w:sz w:val="18"/>
              </w:rPr>
              <w:t>Bard</w:t>
            </w:r>
          </w:p>
        </w:tc>
        <w:tc>
          <w:tcPr>
            <w:tcW w:type="dxa" w:w="3030"/>
            <w:tcMar>
              <w:top w:w="80" w:type="dxa"/>
              <w:start w:w="120" w:type="dxa"/>
              <w:bottom w:w="80" w:type="dxa"/>
              <w:end w:w="120" w:type="dxa"/>
            </w:tcMar>
            <w:vAlign w:val="center"/>
          </w:tcPr>
          <w:p>
            <w:pPr>
              <w:spacing w:before="0" w:after="0" w:line="252" w:lineRule="auto"/>
              <w:jc w:val="center"/>
            </w:pPr>
            <w:r>
              <w:rPr>
                <w:rFonts w:ascii="Calibri" w:hAnsi="Calibri"/>
                <w:color w:val="000000"/>
                <w:sz w:val="18"/>
              </w:rPr>
              <w:t>0,50</w:t>
            </w:r>
          </w:p>
        </w:tc>
        <w:tc>
          <w:tcPr>
            <w:tcW w:type="dxa" w:w="3030"/>
            <w:tcMar>
              <w:top w:w="80" w:type="dxa"/>
              <w:start w:w="120" w:type="dxa"/>
              <w:bottom w:w="80" w:type="dxa"/>
              <w:end w:w="120" w:type="dxa"/>
            </w:tcMar>
            <w:vAlign w:val="center"/>
          </w:tcPr>
          <w:p>
            <w:pPr>
              <w:spacing w:before="0" w:after="0" w:line="252" w:lineRule="auto"/>
              <w:jc w:val="center"/>
            </w:pPr>
            <w:r>
              <w:rPr>
                <w:rFonts w:ascii="Calibri" w:hAnsi="Calibri"/>
                <w:color w:val="000000"/>
                <w:sz w:val="18"/>
              </w:rPr>
              <w:t>0,50</w:t>
            </w:r>
          </w:p>
        </w:tc>
      </w:tr>
      <w:tr>
        <w:trPr>
          <w:cantSplit/>
        </w:trPr>
        <w:tc>
          <w:tcPr>
            <w:tcW w:type="dxa" w:w="3300"/>
            <w:tcMar>
              <w:top w:w="80" w:type="dxa"/>
              <w:start w:w="120" w:type="dxa"/>
              <w:bottom w:w="80" w:type="dxa"/>
              <w:end w:w="120" w:type="dxa"/>
            </w:tcMar>
            <w:vAlign w:val="center"/>
          </w:tcPr>
          <w:p>
            <w:pPr>
              <w:spacing w:before="0" w:after="0" w:line="252" w:lineRule="auto"/>
              <w:jc w:val="left"/>
            </w:pPr>
            <w:r>
              <w:rPr>
                <w:rFonts w:ascii="Calibri" w:hAnsi="Calibri"/>
                <w:color w:val="000000"/>
                <w:sz w:val="18"/>
              </w:rPr>
              <w:t>Bojovník</w:t>
            </w:r>
          </w:p>
        </w:tc>
        <w:tc>
          <w:tcPr>
            <w:tcW w:type="dxa" w:w="3030"/>
            <w:tcMar>
              <w:top w:w="80" w:type="dxa"/>
              <w:start w:w="120" w:type="dxa"/>
              <w:bottom w:w="80" w:type="dxa"/>
              <w:end w:w="120" w:type="dxa"/>
            </w:tcMar>
            <w:vAlign w:val="center"/>
          </w:tcPr>
          <w:p>
            <w:pPr>
              <w:spacing w:before="0" w:after="0" w:line="252" w:lineRule="auto"/>
              <w:jc w:val="center"/>
            </w:pPr>
            <w:r>
              <w:rPr>
                <w:rFonts w:ascii="Calibri" w:hAnsi="Calibri"/>
                <w:color w:val="000000"/>
                <w:sz w:val="18"/>
              </w:rPr>
              <w:t>0,25</w:t>
            </w:r>
          </w:p>
        </w:tc>
        <w:tc>
          <w:tcPr>
            <w:tcW w:type="dxa" w:w="3030"/>
            <w:tcMar>
              <w:top w:w="80" w:type="dxa"/>
              <w:start w:w="120" w:type="dxa"/>
              <w:bottom w:w="80" w:type="dxa"/>
              <w:end w:w="120" w:type="dxa"/>
            </w:tcMar>
            <w:vAlign w:val="center"/>
          </w:tcPr>
          <w:p>
            <w:pPr>
              <w:spacing w:before="0" w:after="0" w:line="252" w:lineRule="auto"/>
              <w:jc w:val="center"/>
            </w:pPr>
            <w:r>
              <w:rPr>
                <w:rFonts w:ascii="Calibri" w:hAnsi="Calibri"/>
                <w:color w:val="000000"/>
                <w:sz w:val="18"/>
              </w:rPr>
              <w:t>0,25</w:t>
            </w:r>
          </w:p>
        </w:tc>
      </w:tr>
    </w:tbl>
    <w:p>
      <w:pPr>
        <w:spacing w:before="0" w:after="120" w:line="300" w:lineRule="auto"/>
      </w:pPr>
      <w:r>
        <w:rPr>
          <w:rFonts w:ascii="Calibri" w:hAnsi="Calibri"/>
          <w:b w:val="0"/>
          <w:color w:val="000000"/>
          <w:sz w:val="20"/>
        </w:rPr>
        <w:t>Koeficient Magie se používá pouze na číselný bonus kouzla k MÚ a koeficient Léčení pouze na základ léčení kouzla. Oba výsledky se zaokrouhlují na nejbližší celé číslo, přesně 0,5 nahoru. Dodatečné bonusy vybavení se koeficienty nenásobí.</w:t>
      </w:r>
    </w:p>
    <w:p>
      <w:pPr>
        <w:pStyle w:val="Heading2"/>
      </w:pPr>
      <w:r>
        <w:t>2.3 Znalost, požadavky a získávání</w:t>
      </w:r>
    </w:p>
    <w:p>
      <w:pPr>
        <w:spacing w:after="60"/>
      </w:pPr>
      <w:r>
        <w:rPr>
          <w:rFonts w:ascii="Calibri" w:hAnsi="Calibri"/>
          <w:b/>
          <w:color w:val="1F4D78"/>
          <w:sz w:val="19"/>
        </w:rPr>
        <w:t xml:space="preserve">Znalost kouzla: </w:t>
      </w:r>
      <w:r>
        <w:rPr>
          <w:rFonts w:ascii="Calibri" w:hAnsi="Calibri"/>
          <w:color w:val="000000"/>
          <w:sz w:val="19"/>
        </w:rPr>
        <w:t>Splnění Min. CH a případného Min. Levelu pouze dovoluje kouzlo se naučit. Postava je smí seslat až poté, co je skutečně získala.</w:t>
      </w:r>
    </w:p>
    <w:p>
      <w:pPr>
        <w:spacing w:after="60"/>
      </w:pPr>
      <w:r>
        <w:rPr>
          <w:rFonts w:ascii="Calibri" w:hAnsi="Calibri"/>
          <w:b/>
          <w:color w:val="1F4D78"/>
          <w:sz w:val="19"/>
        </w:rPr>
        <w:t xml:space="preserve">Min. CH a vybavení: </w:t>
      </w:r>
      <w:r>
        <w:rPr>
          <w:rFonts w:ascii="Calibri" w:hAnsi="Calibri"/>
          <w:color w:val="000000"/>
          <w:sz w:val="19"/>
        </w:rPr>
        <w:t>Pro naučení se používá trvalá CH postavy bez předmětových a dočasných bonusů. Jakmile se postava kouzlo řádně naučí, zůstává známé a Min. CH se při každém seslání znovu nekontroluje. Předmětová CH nadále zvyšuje MÚ, MO a běžné zkoušky CH.</w:t>
      </w:r>
    </w:p>
    <w:p>
      <w:pPr>
        <w:spacing w:after="60"/>
      </w:pPr>
      <w:r>
        <w:rPr>
          <w:rFonts w:ascii="Calibri" w:hAnsi="Calibri"/>
          <w:b/>
          <w:color w:val="1F4D78"/>
          <w:sz w:val="19"/>
        </w:rPr>
        <w:t xml:space="preserve">Získání kouzla: </w:t>
      </w:r>
      <w:r>
        <w:rPr>
          <w:rFonts w:ascii="Calibri" w:hAnsi="Calibri"/>
          <w:color w:val="000000"/>
          <w:sz w:val="19"/>
        </w:rPr>
        <w:t>Kouzlo lze získat při levelování, od učitele, z knihy, ze svitku, jako odměnu, nálezem nebo příběhovou událostí.</w:t>
      </w:r>
    </w:p>
    <w:p>
      <w:pPr>
        <w:spacing w:after="60"/>
      </w:pPr>
      <w:r>
        <w:rPr>
          <w:rFonts w:ascii="Calibri" w:hAnsi="Calibri"/>
          <w:b/>
          <w:color w:val="1F4D78"/>
          <w:sz w:val="19"/>
        </w:rPr>
        <w:t xml:space="preserve">Povolání: </w:t>
      </w:r>
      <w:r>
        <w:rPr>
          <w:rFonts w:ascii="Calibri" w:hAnsi="Calibri"/>
          <w:color w:val="000000"/>
          <w:sz w:val="19"/>
        </w:rPr>
        <w:t>Povolání nevytváří absolutní zákaz magie. Postava se může naučit kouzlo jiné školy, pokud splňuje požadavky a skutečně je získala.</w:t>
      </w:r>
    </w:p>
    <w:p>
      <w:pPr>
        <w:spacing w:after="60"/>
      </w:pPr>
      <w:r>
        <w:rPr>
          <w:rFonts w:ascii="Calibri" w:hAnsi="Calibri"/>
          <w:b/>
          <w:color w:val="1F4D78"/>
          <w:sz w:val="19"/>
        </w:rPr>
        <w:t xml:space="preserve">Min. Level: </w:t>
      </w:r>
      <w:r>
        <w:rPr>
          <w:rFonts w:ascii="Calibri" w:hAnsi="Calibri"/>
          <w:color w:val="000000"/>
          <w:sz w:val="19"/>
        </w:rPr>
        <w:t>Min. Level nebyl později zrušen. U běžných kouzel se používá jen tam, kde je uveden; Hvězdná magie vždy vyžaduje současně vysokou CH, vysoký Level a znalost konkrétního kouzla.</w:t>
      </w:r>
    </w:p>
    <w:p>
      <w:pPr>
        <w:spacing w:after="60"/>
      </w:pPr>
      <w:r>
        <w:rPr>
          <w:rFonts w:ascii="Calibri" w:hAnsi="Calibri"/>
          <w:b/>
          <w:color w:val="1F4D78"/>
          <w:sz w:val="19"/>
        </w:rPr>
        <w:t xml:space="preserve">Mana: </w:t>
      </w:r>
      <w:r>
        <w:rPr>
          <w:rFonts w:ascii="Calibri" w:hAnsi="Calibri"/>
          <w:color w:val="000000"/>
          <w:sz w:val="19"/>
        </w:rPr>
        <w:t>Mana se nepoužívá. Silná kouzla omezují požadavky, znalost a jednoduchý počet použití.</w:t>
      </w:r>
    </w:p>
    <w:p>
      <w:pPr>
        <w:pStyle w:val="Heading2"/>
      </w:pPr>
      <w:r>
        <w:t>2.4 Definitivní společné mechaniky</w:t>
      </w:r>
    </w:p>
    <w:tbl>
      <w:tblPr>
        <w:tblW w:type="dxa" w:w="9360"/>
        <w:jc w:val="left"/>
        <w:tblLayout w:type="fixed"/>
        <w:tblLook w:firstColumn="1" w:firstRow="1" w:lastColumn="0" w:lastRow="0" w:noHBand="0" w:noVBand="1" w:val="04A0"/>
        <w:tblInd w:w="120" w:type="dxa"/>
        <w:tblBorders>
          <w:top w:val="single" w:sz="4" w:space="0" w:color="AAB7C4"/>
          <w:left w:val="single" w:sz="4" w:space="0" w:color="AAB7C4"/>
          <w:bottom w:val="single" w:sz="4" w:space="0" w:color="AAB7C4"/>
          <w:right w:val="single" w:sz="4" w:space="0" w:color="AAB7C4"/>
          <w:insideH w:val="single" w:sz="4" w:space="0" w:color="AAB7C4"/>
          <w:insideV w:val="single" w:sz="4" w:space="0" w:color="AAB7C4"/>
        </w:tblBorders>
      </w:tblPr>
      <w:tblGrid>
        <w:gridCol w:w="2400"/>
        <w:gridCol w:w="6960"/>
      </w:tblGrid>
      <w:tr>
        <w:trPr>
          <w:tblHeader w:val="true"/>
          <w:cantSplit/>
        </w:trPr>
        <w:tc>
          <w:tcPr>
            <w:tcW w:type="dxa" w:w="2400"/>
            <w:shd w:fill="E8EEF5"/>
            <w:tcMar>
              <w:top w:w="80" w:type="dxa"/>
              <w:start w:w="120" w:type="dxa"/>
              <w:bottom w:w="80" w:type="dxa"/>
              <w:end w:w="120" w:type="dxa"/>
            </w:tcMar>
            <w:vAlign w:val="center"/>
          </w:tcPr>
          <w:p>
            <w:pPr>
              <w:spacing w:before="0" w:after="0" w:line="240" w:lineRule="auto"/>
              <w:jc w:val="left"/>
            </w:pPr>
            <w:r>
              <w:rPr>
                <w:rFonts w:ascii="Calibri" w:hAnsi="Calibri"/>
                <w:b/>
                <w:color w:val="18324A"/>
                <w:sz w:val="16"/>
              </w:rPr>
              <w:t>Mechanika</w:t>
            </w:r>
          </w:p>
        </w:tc>
        <w:tc>
          <w:tcPr>
            <w:tcW w:type="dxa" w:w="6960"/>
            <w:shd w:fill="E8EEF5"/>
            <w:tcMar>
              <w:top w:w="80" w:type="dxa"/>
              <w:start w:w="120" w:type="dxa"/>
              <w:bottom w:w="80" w:type="dxa"/>
              <w:end w:w="120" w:type="dxa"/>
            </w:tcMar>
            <w:vAlign w:val="center"/>
          </w:tcPr>
          <w:p>
            <w:pPr>
              <w:spacing w:before="0" w:after="0" w:line="240" w:lineRule="auto"/>
              <w:jc w:val="left"/>
            </w:pPr>
            <w:r>
              <w:rPr>
                <w:rFonts w:ascii="Calibri" w:hAnsi="Calibri"/>
                <w:b/>
                <w:color w:val="18324A"/>
                <w:sz w:val="16"/>
              </w:rPr>
              <w:t>Definitivní pravidlo</w:t>
            </w:r>
          </w:p>
        </w:tc>
      </w:tr>
      <w:tr>
        <w:trPr>
          <w:cantSplit/>
        </w:trPr>
        <w:tc>
          <w:tcPr>
            <w:tcW w:type="dxa" w:w="2400"/>
            <w:shd w:fill="EAF4EA"/>
            <w:tcMar>
              <w:top w:w="80" w:type="dxa"/>
              <w:start w:w="120" w:type="dxa"/>
              <w:bottom w:w="80" w:type="dxa"/>
              <w:end w:w="120" w:type="dxa"/>
            </w:tcMar>
            <w:vAlign w:val="center"/>
          </w:tcPr>
          <w:p>
            <w:pPr>
              <w:spacing w:before="0" w:after="0" w:line="252" w:lineRule="auto"/>
              <w:jc w:val="left"/>
            </w:pPr>
            <w:r>
              <w:rPr>
                <w:rFonts w:ascii="Calibri" w:hAnsi="Calibri"/>
                <w:color w:val="000000"/>
                <w:sz w:val="16"/>
              </w:rPr>
              <w:t>Plošná kouzla</w:t>
            </w:r>
          </w:p>
        </w:tc>
        <w:tc>
          <w:tcPr>
            <w:tcW w:type="dxa" w:w="6960"/>
            <w:shd w:fill="EAF4EA"/>
            <w:tcMar>
              <w:top w:w="80" w:type="dxa"/>
              <w:start w:w="120" w:type="dxa"/>
              <w:bottom w:w="80" w:type="dxa"/>
              <w:end w:w="120" w:type="dxa"/>
            </w:tcMar>
            <w:vAlign w:val="center"/>
          </w:tcPr>
          <w:p>
            <w:pPr>
              <w:spacing w:before="0" w:after="0" w:line="252" w:lineRule="auto"/>
              <w:jc w:val="left"/>
            </w:pPr>
            <w:r>
              <w:rPr>
                <w:rFonts w:ascii="Calibri" w:hAnsi="Calibri"/>
                <w:color w:val="000000"/>
                <w:sz w:val="16"/>
              </w:rPr>
              <w:t>Nejvýše 3 platné cíle, pokud řádek neurčí méně. Provede se jeden hod MÚ; stejný MAGICKÝ ÚTOK se porovná zvlášť s obranou každého cíle. Zranění a vedlejší účinky se vyhodnotí samostatně.</w:t>
            </w:r>
          </w:p>
        </w:tc>
      </w:tr>
      <w:tr>
        <w:trPr>
          <w:cantSplit/>
        </w:trPr>
        <w:tc>
          <w:tcPr>
            <w:tcW w:type="dxa" w:w="2400"/>
            <w:shd w:fill="EAF4EA"/>
            <w:tcMar>
              <w:top w:w="80" w:type="dxa"/>
              <w:start w:w="120" w:type="dxa"/>
              <w:bottom w:w="80" w:type="dxa"/>
              <w:end w:w="120" w:type="dxa"/>
            </w:tcMar>
            <w:vAlign w:val="center"/>
          </w:tcPr>
          <w:p>
            <w:pPr>
              <w:spacing w:before="0" w:after="0" w:line="252" w:lineRule="auto"/>
              <w:jc w:val="left"/>
            </w:pPr>
            <w:r>
              <w:rPr>
                <w:rFonts w:ascii="Calibri" w:hAnsi="Calibri"/>
                <w:color w:val="000000"/>
                <w:sz w:val="16"/>
              </w:rPr>
              <w:t>Neochotný cíl</w:t>
            </w:r>
          </w:p>
        </w:tc>
        <w:tc>
          <w:tcPr>
            <w:tcW w:type="dxa" w:w="6960"/>
            <w:shd w:fill="EAF4EA"/>
            <w:tcMar>
              <w:top w:w="80" w:type="dxa"/>
              <w:start w:w="120" w:type="dxa"/>
              <w:bottom w:w="80" w:type="dxa"/>
              <w:end w:w="120" w:type="dxa"/>
            </w:tcMar>
            <w:vAlign w:val="center"/>
          </w:tcPr>
          <w:p>
            <w:pPr>
              <w:spacing w:before="0" w:after="0" w:line="252" w:lineRule="auto"/>
              <w:jc w:val="left"/>
            </w:pPr>
            <w:r>
              <w:rPr>
                <w:rFonts w:ascii="Calibri" w:hAnsi="Calibri"/>
                <w:color w:val="000000"/>
                <w:sz w:val="16"/>
              </w:rPr>
              <w:t>Ovlivnění používá MAGICKÝ ÚTOK proti MAGICKÉ OBRANĚ. Uspěje jen vyšší útok; při rovnosti nebo nižším výsledku cíl odolá.</w:t>
            </w:r>
          </w:p>
        </w:tc>
      </w:tr>
      <w:tr>
        <w:trPr>
          <w:cantSplit/>
        </w:trPr>
        <w:tc>
          <w:tcPr>
            <w:tcW w:type="dxa" w:w="2400"/>
            <w:shd w:fill="EAF4EA"/>
            <w:tcMar>
              <w:top w:w="80" w:type="dxa"/>
              <w:start w:w="120" w:type="dxa"/>
              <w:bottom w:w="80" w:type="dxa"/>
              <w:end w:w="120" w:type="dxa"/>
            </w:tcMar>
            <w:vAlign w:val="center"/>
          </w:tcPr>
          <w:p>
            <w:pPr>
              <w:spacing w:before="0" w:after="0" w:line="252" w:lineRule="auto"/>
              <w:jc w:val="left"/>
            </w:pPr>
            <w:r>
              <w:rPr>
                <w:rFonts w:ascii="Calibri" w:hAnsi="Calibri"/>
                <w:color w:val="000000"/>
                <w:sz w:val="16"/>
              </w:rPr>
              <w:t>Hlavní protivník / boss</w:t>
            </w:r>
          </w:p>
        </w:tc>
        <w:tc>
          <w:tcPr>
            <w:tcW w:type="dxa" w:w="6960"/>
            <w:shd w:fill="EAF4EA"/>
            <w:tcMar>
              <w:top w:w="80" w:type="dxa"/>
              <w:start w:w="120" w:type="dxa"/>
              <w:bottom w:w="80" w:type="dxa"/>
              <w:end w:w="120" w:type="dxa"/>
            </w:tcMar>
            <w:vAlign w:val="center"/>
          </w:tcPr>
          <w:p>
            <w:pPr>
              <w:spacing w:before="0" w:after="0" w:line="252" w:lineRule="auto"/>
              <w:jc w:val="left"/>
            </w:pPr>
            <w:r>
              <w:rPr>
                <w:rFonts w:ascii="Calibri" w:hAnsi="Calibri"/>
                <w:color w:val="000000"/>
                <w:sz w:val="16"/>
              </w:rPr>
              <w:t>Boss neztratí celý tah, neusne, nezmění stranu, automaticky neuteče ani není úplně vyřazen. Platí oslabený účinek v řádku kouzla; pokud chybí, do konce příštího tahu má −2 k prvnímu FÚ, MÚ nebo zkoušce a bez zvláštní schopnosti v této akci.</w:t>
            </w:r>
          </w:p>
        </w:tc>
      </w:tr>
      <w:tr>
        <w:trPr>
          <w:cantSplit/>
        </w:trPr>
        <w:tc>
          <w:tcPr>
            <w:tcW w:type="dxa" w:w="2400"/>
            <w:shd w:fill="EAF4EA"/>
            <w:tcMar>
              <w:top w:w="80" w:type="dxa"/>
              <w:start w:w="120" w:type="dxa"/>
              <w:bottom w:w="80" w:type="dxa"/>
              <w:end w:w="120" w:type="dxa"/>
            </w:tcMar>
            <w:vAlign w:val="center"/>
          </w:tcPr>
          <w:p>
            <w:pPr>
              <w:spacing w:before="0" w:after="0" w:line="252" w:lineRule="auto"/>
              <w:jc w:val="left"/>
            </w:pPr>
            <w:r>
              <w:rPr>
                <w:rFonts w:ascii="Calibri" w:hAnsi="Calibri"/>
                <w:color w:val="000000"/>
                <w:sz w:val="16"/>
              </w:rPr>
              <w:t>Léčení</w:t>
            </w:r>
          </w:p>
        </w:tc>
        <w:tc>
          <w:tcPr>
            <w:tcW w:type="dxa" w:w="6960"/>
            <w:shd w:fill="EAF4EA"/>
            <w:tcMar>
              <w:top w:w="80" w:type="dxa"/>
              <w:start w:w="120" w:type="dxa"/>
              <w:bottom w:w="80" w:type="dxa"/>
              <w:end w:w="120" w:type="dxa"/>
            </w:tcMar>
            <w:vAlign w:val="center"/>
          </w:tcPr>
          <w:p>
            <w:pPr>
              <w:spacing w:before="0" w:after="0" w:line="252" w:lineRule="auto"/>
              <w:jc w:val="left"/>
            </w:pPr>
            <w:r>
              <w:rPr>
                <w:rFonts w:ascii="Calibri" w:hAnsi="Calibri"/>
                <w:color w:val="000000"/>
                <w:sz w:val="16"/>
              </w:rPr>
              <w:t>Výsledek = zaokr(základ × koeficient Léčení) + předmětové bonusy; zaokrouhlení na nejbližší celé číslo, přesně 0,5 nahoru. Jeden sesilatel použije nejvýše 1 léčivé kouzlo za souboj.</w:t>
            </w:r>
          </w:p>
        </w:tc>
      </w:tr>
      <w:tr>
        <w:trPr>
          <w:cantSplit/>
        </w:trPr>
        <w:tc>
          <w:tcPr>
            <w:tcW w:type="dxa" w:w="2400"/>
            <w:shd w:fill="EAF4EA"/>
            <w:tcMar>
              <w:top w:w="80" w:type="dxa"/>
              <w:start w:w="120" w:type="dxa"/>
              <w:bottom w:w="80" w:type="dxa"/>
              <w:end w:w="120" w:type="dxa"/>
            </w:tcMar>
            <w:vAlign w:val="center"/>
          </w:tcPr>
          <w:p>
            <w:pPr>
              <w:spacing w:before="0" w:after="0" w:line="252" w:lineRule="auto"/>
              <w:jc w:val="left"/>
            </w:pPr>
            <w:r>
              <w:rPr>
                <w:rFonts w:ascii="Calibri" w:hAnsi="Calibri"/>
                <w:color w:val="000000"/>
                <w:sz w:val="16"/>
              </w:rPr>
              <w:t>Soustředění</w:t>
            </w:r>
          </w:p>
        </w:tc>
        <w:tc>
          <w:tcPr>
            <w:tcW w:type="dxa" w:w="6960"/>
            <w:shd w:fill="EAF4EA"/>
            <w:tcMar>
              <w:top w:w="80" w:type="dxa"/>
              <w:start w:w="120" w:type="dxa"/>
              <w:bottom w:w="80" w:type="dxa"/>
              <w:end w:w="120" w:type="dxa"/>
            </w:tcMar>
            <w:vAlign w:val="center"/>
          </w:tcPr>
          <w:p>
            <w:pPr>
              <w:spacing w:before="0" w:after="0" w:line="252" w:lineRule="auto"/>
              <w:jc w:val="left"/>
            </w:pPr>
            <w:r>
              <w:rPr>
                <w:rFonts w:ascii="Calibri" w:hAnsi="Calibri"/>
                <w:color w:val="000000"/>
                <w:sz w:val="16"/>
              </w:rPr>
              <w:t>Nejvýše 1 aktivní kouzlo se soustředěním. Seslání dalšího kouzla je ukončí před vyhodnocením nového. Pohyb, fyzická akce ani zranění je samy neukončí; řádek kouzla může určit další podmínku.</w:t>
            </w:r>
          </w:p>
        </w:tc>
      </w:tr>
    </w:tbl>
    <w:p>
      <w:pPr>
        <w:pStyle w:val="Heading2"/>
      </w:pPr>
      <w:r>
        <w:t>2.5 Jak číst sloupec Bonus</w:t>
      </w:r>
    </w:p>
    <w:tbl>
      <w:tblPr>
        <w:tblW w:type="dxa" w:w="9360"/>
        <w:jc w:val="left"/>
        <w:tblLayout w:type="fixed"/>
        <w:tblLook w:firstColumn="1" w:firstRow="1" w:lastColumn="0" w:lastRow="0" w:noHBand="0" w:noVBand="1" w:val="04A0"/>
        <w:tblInd w:w="120" w:type="dxa"/>
        <w:tblBorders>
          <w:top w:val="single" w:sz="4" w:space="0" w:color="AAB7C4"/>
          <w:left w:val="single" w:sz="4" w:space="0" w:color="AAB7C4"/>
          <w:bottom w:val="single" w:sz="4" w:space="0" w:color="AAB7C4"/>
          <w:right w:val="single" w:sz="4" w:space="0" w:color="AAB7C4"/>
          <w:insideH w:val="single" w:sz="4" w:space="0" w:color="AAB7C4"/>
          <w:insideV w:val="single" w:sz="4" w:space="0" w:color="AAB7C4"/>
        </w:tblBorders>
      </w:tblPr>
      <w:tblGrid>
        <w:gridCol w:w="2200"/>
        <w:gridCol w:w="7160"/>
      </w:tblGrid>
      <w:tr>
        <w:trPr>
          <w:tblHeader w:val="true"/>
          <w:cantSplit/>
        </w:trPr>
        <w:tc>
          <w:tcPr>
            <w:tcW w:type="dxa" w:w="2200"/>
            <w:shd w:fill="E8EEF5"/>
            <w:tcMar>
              <w:top w:w="80" w:type="dxa"/>
              <w:start w:w="120" w:type="dxa"/>
              <w:bottom w:w="80" w:type="dxa"/>
              <w:end w:w="120" w:type="dxa"/>
            </w:tcMar>
            <w:vAlign w:val="center"/>
          </w:tcPr>
          <w:p>
            <w:pPr>
              <w:spacing w:before="0" w:after="0" w:line="240" w:lineRule="auto"/>
              <w:jc w:val="left"/>
            </w:pPr>
            <w:r>
              <w:rPr>
                <w:rFonts w:ascii="Calibri" w:hAnsi="Calibri"/>
                <w:b/>
                <w:color w:val="18324A"/>
                <w:sz w:val="18"/>
              </w:rPr>
              <w:t>Zápis</w:t>
            </w:r>
          </w:p>
        </w:tc>
        <w:tc>
          <w:tcPr>
            <w:tcW w:type="dxa" w:w="7160"/>
            <w:shd w:fill="E8EEF5"/>
            <w:tcMar>
              <w:top w:w="80" w:type="dxa"/>
              <w:start w:w="120" w:type="dxa"/>
              <w:bottom w:w="80" w:type="dxa"/>
              <w:end w:w="120" w:type="dxa"/>
            </w:tcMar>
            <w:vAlign w:val="center"/>
          </w:tcPr>
          <w:p>
            <w:pPr>
              <w:spacing w:before="0" w:after="0" w:line="240" w:lineRule="auto"/>
              <w:jc w:val="left"/>
            </w:pPr>
            <w:r>
              <w:rPr>
                <w:rFonts w:ascii="Calibri" w:hAnsi="Calibri"/>
                <w:b/>
                <w:color w:val="18324A"/>
                <w:sz w:val="18"/>
              </w:rPr>
              <w:t>Význam</w:t>
            </w:r>
          </w:p>
        </w:tc>
      </w:tr>
      <w:tr>
        <w:trPr>
          <w:cantSplit/>
        </w:trPr>
        <w:tc>
          <w:tcPr>
            <w:tcW w:type="dxa" w:w="2200"/>
            <w:tcMar>
              <w:top w:w="80" w:type="dxa"/>
              <w:start w:w="120" w:type="dxa"/>
              <w:bottom w:w="80" w:type="dxa"/>
              <w:end w:w="120" w:type="dxa"/>
            </w:tcMar>
            <w:vAlign w:val="center"/>
          </w:tcPr>
          <w:p>
            <w:pPr>
              <w:spacing w:before="0" w:after="0" w:line="252" w:lineRule="auto"/>
              <w:jc w:val="left"/>
            </w:pPr>
            <w:r>
              <w:rPr>
                <w:rFonts w:ascii="Calibri" w:hAnsi="Calibri"/>
                <w:color w:val="000000"/>
                <w:sz w:val="18"/>
              </w:rPr>
              <w:t>+X k MÚ</w:t>
            </w:r>
          </w:p>
        </w:tc>
        <w:tc>
          <w:tcPr>
            <w:tcW w:type="dxa" w:w="7160"/>
            <w:tcMar>
              <w:top w:w="80" w:type="dxa"/>
              <w:start w:w="120" w:type="dxa"/>
              <w:bottom w:w="80" w:type="dxa"/>
              <w:end w:w="120" w:type="dxa"/>
            </w:tcMar>
            <w:vAlign w:val="center"/>
          </w:tcPr>
          <w:p>
            <w:pPr>
              <w:spacing w:before="0" w:after="0" w:line="252" w:lineRule="auto"/>
              <w:jc w:val="left"/>
            </w:pPr>
            <w:r>
              <w:rPr>
                <w:rFonts w:ascii="Calibri" w:hAnsi="Calibri"/>
                <w:color w:val="000000"/>
                <w:sz w:val="18"/>
              </w:rPr>
              <w:t>X se násobí koeficientem Magie povolání a zaokrouhlí 0,5 nahoru; poté vstoupí do MÚ.</w:t>
            </w:r>
          </w:p>
        </w:tc>
      </w:tr>
      <w:tr>
        <w:trPr>
          <w:cantSplit/>
        </w:trPr>
        <w:tc>
          <w:tcPr>
            <w:tcW w:type="dxa" w:w="2200"/>
            <w:tcMar>
              <w:top w:w="80" w:type="dxa"/>
              <w:start w:w="120" w:type="dxa"/>
              <w:bottom w:w="80" w:type="dxa"/>
              <w:end w:w="120" w:type="dxa"/>
            </w:tcMar>
            <w:vAlign w:val="center"/>
          </w:tcPr>
          <w:p>
            <w:pPr>
              <w:spacing w:before="0" w:after="0" w:line="252" w:lineRule="auto"/>
              <w:jc w:val="left"/>
            </w:pPr>
            <w:r>
              <w:rPr>
                <w:rFonts w:ascii="Calibri" w:hAnsi="Calibri"/>
                <w:color w:val="000000"/>
                <w:sz w:val="18"/>
              </w:rPr>
              <w:t>+X FO / MO</w:t>
            </w:r>
          </w:p>
        </w:tc>
        <w:tc>
          <w:tcPr>
            <w:tcW w:type="dxa" w:w="7160"/>
            <w:tcMar>
              <w:top w:w="80" w:type="dxa"/>
              <w:start w:w="120" w:type="dxa"/>
              <w:bottom w:w="80" w:type="dxa"/>
              <w:end w:w="120" w:type="dxa"/>
            </w:tcMar>
            <w:vAlign w:val="center"/>
          </w:tcPr>
          <w:p>
            <w:pPr>
              <w:spacing w:before="0" w:after="0" w:line="252" w:lineRule="auto"/>
              <w:jc w:val="left"/>
            </w:pPr>
            <w:r>
              <w:rPr>
                <w:rFonts w:ascii="Calibri" w:hAnsi="Calibri"/>
                <w:color w:val="000000"/>
                <w:sz w:val="18"/>
              </w:rPr>
              <w:t>Pevný obranný účinek kouzla; koeficient Magie se na něj nepoužívá. K součtu předmětových bonusů se přičte nejvyšší právě působící kouzelný bonus pro FO a nejvyšší pro MO. Více kouzelných bonusů ke stejné obraně se nesčítá.</w:t>
            </w:r>
          </w:p>
        </w:tc>
      </w:tr>
      <w:tr>
        <w:trPr>
          <w:cantSplit/>
        </w:trPr>
        <w:tc>
          <w:tcPr>
            <w:tcW w:type="dxa" w:w="2200"/>
            <w:tcMar>
              <w:top w:w="80" w:type="dxa"/>
              <w:start w:w="120" w:type="dxa"/>
              <w:bottom w:w="80" w:type="dxa"/>
              <w:end w:w="120" w:type="dxa"/>
            </w:tcMar>
            <w:vAlign w:val="center"/>
          </w:tcPr>
          <w:p>
            <w:pPr>
              <w:spacing w:before="0" w:after="0" w:line="252" w:lineRule="auto"/>
              <w:jc w:val="left"/>
            </w:pPr>
            <w:r>
              <w:rPr>
                <w:rFonts w:ascii="Calibri" w:hAnsi="Calibri"/>
                <w:color w:val="000000"/>
                <w:sz w:val="18"/>
              </w:rPr>
              <w:t>základ X Ž</w:t>
            </w:r>
          </w:p>
        </w:tc>
        <w:tc>
          <w:tcPr>
            <w:tcW w:type="dxa" w:w="7160"/>
            <w:tcMar>
              <w:top w:w="80" w:type="dxa"/>
              <w:start w:w="120" w:type="dxa"/>
              <w:bottom w:w="80" w:type="dxa"/>
              <w:end w:w="120" w:type="dxa"/>
            </w:tcMar>
            <w:vAlign w:val="center"/>
          </w:tcPr>
          <w:p>
            <w:pPr>
              <w:spacing w:before="0" w:after="0" w:line="252" w:lineRule="auto"/>
              <w:jc w:val="left"/>
            </w:pPr>
            <w:r>
              <w:rPr>
                <w:rFonts w:ascii="Calibri" w:hAnsi="Calibri"/>
                <w:color w:val="000000"/>
                <w:sz w:val="18"/>
              </w:rPr>
              <w:t>X se násobí koeficientem Léčení a zaokrouhlí na nejbližší celé číslo, přesně 0,5 nahoru. Poté se přičtou použitelné předmětové bonusy k léčení.</w:t>
            </w:r>
          </w:p>
        </w:tc>
      </w:tr>
    </w:tbl>
    <w:p>
      <w:pPr>
        <w:sectPr>
          <w:headerReference w:type="default" r:id="rId9"/>
          <w:footerReference w:type="default" r:id="rId10"/>
          <w:pgSz w:w="12240" w:h="15840"/>
          <w:pgMar w:top="1440" w:right="1440" w:bottom="1440" w:left="1440" w:header="708" w:footer="708" w:gutter="0"/>
          <w:cols w:space="720"/>
          <w:docGrid w:linePitch="360"/>
        </w:sectPr>
      </w:pPr>
    </w:p>
    <w:p>
      <w:pPr>
        <w:pStyle w:val="Heading1"/>
        <w:spacing w:before="80"/>
      </w:pPr>
      <w:r>
        <w:t>3. Katalog 110 referenčních kouzel</w:t>
      </w:r>
    </w:p>
    <w:p>
      <w:pPr>
        <w:spacing w:before="0" w:after="160" w:line="264" w:lineRule="auto"/>
      </w:pPr>
      <w:r>
        <w:rPr>
          <w:rFonts w:ascii="Calibri" w:hAnsi="Calibri"/>
          <w:b w:val="0"/>
          <w:color w:val="000000"/>
          <w:sz w:val="18"/>
        </w:rPr>
        <w:t>Každá škola obsahuje přesně 10 referenčních kouzel. Min. Levely zůstávají zachovány: nebyly později zrušeny a schválené levelování s maximem vlastnosti 20 umožňuje splnit i požadavky CH 11–18. Všechny společné mechaniky, na které se řádky odkazují, jsou definitivně popsány v kapitole 2.4. Zápis „—“ znamená, že kouzlo nemá číselný bonus a používá přesný účinek nebo zkoušku uvedenou v popisu.</w:t>
      </w:r>
    </w:p>
    <w:p>
      <w:pPr>
        <w:keepNext/>
        <w:spacing w:before="0" w:after="80"/>
      </w:pPr>
      <w:r>
        <w:rPr>
          <w:rFonts w:ascii="Calibri" w:hAnsi="Calibri"/>
          <w:b/>
          <w:color w:val="2E74B5"/>
          <w:sz w:val="25"/>
        </w:rPr>
        <w:t>3.1  Obecná magie</w:t>
      </w:r>
    </w:p>
    <w:p>
      <w:pPr>
        <w:spacing w:before="0" w:after="100" w:line="252" w:lineRule="auto"/>
      </w:pPr>
      <w:r>
        <w:rPr>
          <w:rFonts w:ascii="Calibri" w:hAnsi="Calibri"/>
          <w:b w:val="0"/>
          <w:color w:val="000000"/>
          <w:sz w:val="17"/>
        </w:rPr>
        <w:t>Nejjednodušší praktická kouzla: světlo, drobná manipulace, hledání, opravy a základní ochrana. Není elementální školou.</w:t>
      </w:r>
    </w:p>
    <w:tbl>
      <w:tblPr>
        <w:tblW w:type="dxa" w:w="14280"/>
        <w:jc w:val="left"/>
        <w:tblLayout w:type="fixed"/>
        <w:tblLook w:firstColumn="1" w:firstRow="1" w:lastColumn="0" w:lastRow="0" w:noHBand="0" w:noVBand="1" w:val="04A0"/>
        <w:tblInd w:w="120" w:type="dxa"/>
        <w:tblBorders>
          <w:top w:val="single" w:sz="4" w:space="0" w:color="AAB7C4"/>
          <w:left w:val="single" w:sz="4" w:space="0" w:color="AAB7C4"/>
          <w:bottom w:val="single" w:sz="4" w:space="0" w:color="AAB7C4"/>
          <w:right w:val="single" w:sz="4" w:space="0" w:color="AAB7C4"/>
          <w:insideH w:val="single" w:sz="4" w:space="0" w:color="AAB7C4"/>
          <w:insideV w:val="single" w:sz="4" w:space="0" w:color="AAB7C4"/>
        </w:tblBorders>
      </w:tblPr>
      <w:tblGrid>
        <w:gridCol w:w="1800"/>
        <w:gridCol w:w="1150"/>
        <w:gridCol w:w="1150"/>
        <w:gridCol w:w="520"/>
        <w:gridCol w:w="620"/>
        <w:gridCol w:w="1180"/>
        <w:gridCol w:w="1500"/>
        <w:gridCol w:w="1100"/>
        <w:gridCol w:w="1700"/>
        <w:gridCol w:w="3560"/>
      </w:tblGrid>
      <w:tr>
        <w:trPr>
          <w:tblHeader w:val="true"/>
          <w:cantSplit/>
        </w:trPr>
        <w:tc>
          <w:tcPr>
            <w:tcW w:type="dxa" w:w="1800"/>
            <w:shd w:fill="E8EEF5"/>
            <w:tcMar>
              <w:top w:w="80" w:type="dxa"/>
              <w:start w:w="120" w:type="dxa"/>
              <w:bottom w:w="80" w:type="dxa"/>
              <w:end w:w="120" w:type="dxa"/>
            </w:tcMar>
            <w:vAlign w:val="center"/>
          </w:tcPr>
          <w:p>
            <w:pPr>
              <w:spacing w:before="0" w:after="0" w:line="240" w:lineRule="auto"/>
              <w:jc w:val="left"/>
            </w:pPr>
            <w:r>
              <w:rPr>
                <w:rFonts w:ascii="Calibri" w:hAnsi="Calibri"/>
                <w:b/>
                <w:color w:val="18324A"/>
                <w:sz w:val="13"/>
              </w:rPr>
              <w:t>Kouzlo</w:t>
            </w:r>
          </w:p>
        </w:tc>
        <w:tc>
          <w:tcPr>
            <w:tcW w:type="dxa" w:w="1150"/>
            <w:shd w:fill="E8EEF5"/>
            <w:tcMar>
              <w:top w:w="80" w:type="dxa"/>
              <w:start w:w="120" w:type="dxa"/>
              <w:bottom w:w="80" w:type="dxa"/>
              <w:end w:w="120" w:type="dxa"/>
            </w:tcMar>
            <w:vAlign w:val="center"/>
          </w:tcPr>
          <w:p>
            <w:pPr>
              <w:spacing w:before="0" w:after="0" w:line="240" w:lineRule="auto"/>
              <w:jc w:val="center"/>
            </w:pPr>
            <w:r>
              <w:rPr>
                <w:rFonts w:ascii="Calibri" w:hAnsi="Calibri"/>
                <w:b/>
                <w:color w:val="18324A"/>
                <w:sz w:val="13"/>
              </w:rPr>
              <w:t>Škola</w:t>
            </w:r>
          </w:p>
        </w:tc>
        <w:tc>
          <w:tcPr>
            <w:tcW w:type="dxa" w:w="1150"/>
            <w:shd w:fill="E8EEF5"/>
            <w:tcMar>
              <w:top w:w="80" w:type="dxa"/>
              <w:start w:w="120" w:type="dxa"/>
              <w:bottom w:w="80" w:type="dxa"/>
              <w:end w:w="120" w:type="dxa"/>
            </w:tcMar>
            <w:vAlign w:val="center"/>
          </w:tcPr>
          <w:p>
            <w:pPr>
              <w:spacing w:before="0" w:after="0" w:line="240" w:lineRule="auto"/>
              <w:jc w:val="center"/>
            </w:pPr>
            <w:r>
              <w:rPr>
                <w:rFonts w:ascii="Calibri" w:hAnsi="Calibri"/>
                <w:b/>
                <w:color w:val="18324A"/>
                <w:sz w:val="13"/>
              </w:rPr>
              <w:t>Typ</w:t>
            </w:r>
          </w:p>
        </w:tc>
        <w:tc>
          <w:tcPr>
            <w:tcW w:type="dxa" w:w="520"/>
            <w:shd w:fill="E8EEF5"/>
            <w:tcMar>
              <w:top w:w="80" w:type="dxa"/>
              <w:start w:w="120" w:type="dxa"/>
              <w:bottom w:w="80" w:type="dxa"/>
              <w:end w:w="120" w:type="dxa"/>
            </w:tcMar>
            <w:vAlign w:val="center"/>
          </w:tcPr>
          <w:p>
            <w:pPr>
              <w:spacing w:before="0" w:after="0" w:line="240" w:lineRule="auto"/>
              <w:jc w:val="center"/>
            </w:pPr>
            <w:r>
              <w:rPr>
                <w:rFonts w:ascii="Calibri" w:hAnsi="Calibri"/>
                <w:b/>
                <w:color w:val="18324A"/>
                <w:sz w:val="13"/>
              </w:rPr>
              <w:t>Min. CH</w:t>
            </w:r>
          </w:p>
        </w:tc>
        <w:tc>
          <w:tcPr>
            <w:tcW w:type="dxa" w:w="620"/>
            <w:shd w:fill="E8EEF5"/>
            <w:tcMar>
              <w:top w:w="80" w:type="dxa"/>
              <w:start w:w="120" w:type="dxa"/>
              <w:bottom w:w="80" w:type="dxa"/>
              <w:end w:w="120" w:type="dxa"/>
            </w:tcMar>
            <w:vAlign w:val="center"/>
          </w:tcPr>
          <w:p>
            <w:pPr>
              <w:spacing w:before="0" w:after="0" w:line="240" w:lineRule="auto"/>
              <w:jc w:val="center"/>
            </w:pPr>
            <w:r>
              <w:rPr>
                <w:rFonts w:ascii="Calibri" w:hAnsi="Calibri"/>
                <w:b/>
                <w:color w:val="18324A"/>
                <w:sz w:val="13"/>
              </w:rPr>
              <w:t>Min. Level</w:t>
            </w:r>
          </w:p>
        </w:tc>
        <w:tc>
          <w:tcPr>
            <w:tcW w:type="dxa" w:w="1180"/>
            <w:shd w:fill="E8EEF5"/>
            <w:tcMar>
              <w:top w:w="80" w:type="dxa"/>
              <w:start w:w="120" w:type="dxa"/>
              <w:bottom w:w="80" w:type="dxa"/>
              <w:end w:w="120" w:type="dxa"/>
            </w:tcMar>
            <w:vAlign w:val="center"/>
          </w:tcPr>
          <w:p>
            <w:pPr>
              <w:spacing w:before="0" w:after="0" w:line="240" w:lineRule="auto"/>
              <w:jc w:val="center"/>
            </w:pPr>
            <w:r>
              <w:rPr>
                <w:rFonts w:ascii="Calibri" w:hAnsi="Calibri"/>
                <w:b/>
                <w:color w:val="18324A"/>
                <w:sz w:val="13"/>
              </w:rPr>
              <w:t>Bonus</w:t>
            </w:r>
          </w:p>
        </w:tc>
        <w:tc>
          <w:tcPr>
            <w:tcW w:type="dxa" w:w="1500"/>
            <w:shd w:fill="E8EEF5"/>
            <w:tcMar>
              <w:top w:w="80" w:type="dxa"/>
              <w:start w:w="120" w:type="dxa"/>
              <w:bottom w:w="80" w:type="dxa"/>
              <w:end w:w="120" w:type="dxa"/>
            </w:tcMar>
            <w:vAlign w:val="center"/>
          </w:tcPr>
          <w:p>
            <w:pPr>
              <w:spacing w:before="0" w:after="0" w:line="240" w:lineRule="auto"/>
              <w:jc w:val="left"/>
            </w:pPr>
            <w:r>
              <w:rPr>
                <w:rFonts w:ascii="Calibri" w:hAnsi="Calibri"/>
                <w:b/>
                <w:color w:val="18324A"/>
                <w:sz w:val="13"/>
              </w:rPr>
              <w:t>Cíl</w:t>
            </w:r>
          </w:p>
        </w:tc>
        <w:tc>
          <w:tcPr>
            <w:tcW w:type="dxa" w:w="1100"/>
            <w:shd w:fill="E8EEF5"/>
            <w:tcMar>
              <w:top w:w="80" w:type="dxa"/>
              <w:start w:w="120" w:type="dxa"/>
              <w:bottom w:w="80" w:type="dxa"/>
              <w:end w:w="120" w:type="dxa"/>
            </w:tcMar>
            <w:vAlign w:val="center"/>
          </w:tcPr>
          <w:p>
            <w:pPr>
              <w:spacing w:before="0" w:after="0" w:line="240" w:lineRule="auto"/>
              <w:jc w:val="center"/>
            </w:pPr>
            <w:r>
              <w:rPr>
                <w:rFonts w:ascii="Calibri" w:hAnsi="Calibri"/>
                <w:b/>
                <w:color w:val="18324A"/>
                <w:sz w:val="13"/>
              </w:rPr>
              <w:t>Trvání</w:t>
            </w:r>
          </w:p>
        </w:tc>
        <w:tc>
          <w:tcPr>
            <w:tcW w:type="dxa" w:w="1700"/>
            <w:shd w:fill="E8EEF5"/>
            <w:tcMar>
              <w:top w:w="80" w:type="dxa"/>
              <w:start w:w="120" w:type="dxa"/>
              <w:bottom w:w="80" w:type="dxa"/>
              <w:end w:w="120" w:type="dxa"/>
            </w:tcMar>
            <w:vAlign w:val="center"/>
          </w:tcPr>
          <w:p>
            <w:pPr>
              <w:spacing w:before="0" w:after="0" w:line="240" w:lineRule="auto"/>
              <w:jc w:val="left"/>
            </w:pPr>
            <w:r>
              <w:rPr>
                <w:rFonts w:ascii="Calibri" w:hAnsi="Calibri"/>
                <w:b/>
                <w:color w:val="18324A"/>
                <w:sz w:val="13"/>
              </w:rPr>
              <w:t>Omezení</w:t>
            </w:r>
          </w:p>
        </w:tc>
        <w:tc>
          <w:tcPr>
            <w:tcW w:type="dxa" w:w="3560"/>
            <w:shd w:fill="E8EEF5"/>
            <w:tcMar>
              <w:top w:w="80" w:type="dxa"/>
              <w:start w:w="120" w:type="dxa"/>
              <w:bottom w:w="80" w:type="dxa"/>
              <w:end w:w="120" w:type="dxa"/>
            </w:tcMar>
            <w:vAlign w:val="center"/>
          </w:tcPr>
          <w:p>
            <w:pPr>
              <w:spacing w:before="0" w:after="0" w:line="240" w:lineRule="auto"/>
              <w:jc w:val="left"/>
            </w:pPr>
            <w:r>
              <w:rPr>
                <w:rFonts w:ascii="Calibri" w:hAnsi="Calibri"/>
                <w:b/>
                <w:color w:val="18324A"/>
                <w:sz w:val="13"/>
              </w:rPr>
              <w:t>Přesný účinek</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Světélko</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Obecná magie</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užitkové</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5</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bod nebo předmět na dosah</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1 hodina</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nejvýše 1 aktivní</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Vytvoří neškodné světlo o dosahu přibližně 5 m. Sesilatel je může zhasnout kdykoli.</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Zapálení</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Obecná magie</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užitkové</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5</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svíčka, pochodeň nebo suchý troud na dohled</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okamžitě</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nelze cílit na tvora ani nesený předmět</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Zapálí malý připravený zdroj ohně. Nezpůsobuje zranění a nezapálí mokrý materiál.</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Kouzelný zvuk</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Obecná magie</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užitkové</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5</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bod do 10 m</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nejvýše 1 kolo</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nejvýše 1 aktivní</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Vytvoří jednoduchý zvuk dlouhý nejvýše 6 sekund. Nedokáže napodobit srozumitelnou řeč konkrétní osoby.</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Kouzelná čistota</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Obecná magie</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užitkové</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5</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předmět nebo plocha do 1 m²</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okamžitě</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neodstraňuje jed, kletbu ani poškození</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Odstraní běžnou špínu, bláto, prach nebo zápach, aniž by předmět poškodila.</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Hledání vody</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Obecná magie</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užitkové</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6</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sesilatel</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okamžitě</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za scénu</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Ukáže směr k nejbližšímu dosažitelnému zdroji vody do 1 km. Neurčí, zda je voda bezpečná k pití.</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Magická ruka</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Obecná magie</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užitkové</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6</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volný předmět do 2 kg a 5 m</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soustředění, nejvýše 3 kola</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ruka; bez útoku a složité jemné práce</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Vytvoří viditelnou magickou ruku, která zvedne, přinese, položí nebo stiskne jednoduchý mechanismus. Není to Telekineze a nemůže ovlivnit tvora.</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Oprava drobnosti</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Obecná magie</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užitkové</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6</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nemagický předmět do velikosti batohu</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okamžitě</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na stejné poškození; musí být přítomny všechny části</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Spojí prasklinu, přetržený řemínek nebo rozbitou drobnou součást. Neobnoví spotřebovaný obsah ani magii.</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Odhalení magie</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Obecná magie</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užitkové</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7</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předmět, tvor nebo prostor do 5 m</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okamžitě</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za scénu</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Odhalí přítomnost magie a její nejbližší školu. Neprozradí přesný účinek, spouštěč ani způsob zrušení.</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Kouzelný klíč</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Obecná magie</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užitkové</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7</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běžný nemagický zámek na dosah</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okamžitě</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pokus na zámek</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Provede zkoušku CH proti 7/9/11 podle kvality zámku. Úspěch zámek otevře; magický zámek ani past nezruší.</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Drobný magický štít</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Obecná magie</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obranné</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7</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+1 FO a MO</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sesilatel nebo 1 spojenec na dohled</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do příštího útoku proti cíli, nejdéle 1 kolo</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2× za souboj; nesčítá se s jiným magickým bonusem stejné obrany</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Cíl získá +1 k FO i MO proti jednomu příštímu útoku.</w:t>
            </w:r>
          </w:p>
        </w:tc>
      </w:tr>
    </w:tbl>
    <w:p>
      <w:r>
        <w:br w:type="page"/>
      </w:r>
    </w:p>
    <w:p>
      <w:pPr>
        <w:keepNext/>
        <w:spacing w:before="0" w:after="80"/>
      </w:pPr>
      <w:r>
        <w:rPr>
          <w:rFonts w:ascii="Calibri" w:hAnsi="Calibri"/>
          <w:b/>
          <w:color w:val="2E74B5"/>
          <w:sz w:val="25"/>
        </w:rPr>
        <w:t>3.2  Oheň</w:t>
      </w:r>
    </w:p>
    <w:p>
      <w:pPr>
        <w:spacing w:before="0" w:after="100" w:line="252" w:lineRule="auto"/>
      </w:pPr>
      <w:r>
        <w:rPr>
          <w:rFonts w:ascii="Calibri" w:hAnsi="Calibri"/>
          <w:b w:val="0"/>
          <w:color w:val="000000"/>
          <w:sz w:val="17"/>
        </w:rPr>
        <w:t>Oheň, teplo, spalování, kouř a výbuchy. Silná v přímém útoku a v tvorbě překážek.</w:t>
      </w:r>
    </w:p>
    <w:tbl>
      <w:tblPr>
        <w:tblW w:type="dxa" w:w="14280"/>
        <w:jc w:val="left"/>
        <w:tblLayout w:type="fixed"/>
        <w:tblLook w:firstColumn="1" w:firstRow="1" w:lastColumn="0" w:lastRow="0" w:noHBand="0" w:noVBand="1" w:val="04A0"/>
        <w:tblInd w:w="120" w:type="dxa"/>
        <w:tblBorders>
          <w:top w:val="single" w:sz="4" w:space="0" w:color="AAB7C4"/>
          <w:left w:val="single" w:sz="4" w:space="0" w:color="AAB7C4"/>
          <w:bottom w:val="single" w:sz="4" w:space="0" w:color="AAB7C4"/>
          <w:right w:val="single" w:sz="4" w:space="0" w:color="AAB7C4"/>
          <w:insideH w:val="single" w:sz="4" w:space="0" w:color="AAB7C4"/>
          <w:insideV w:val="single" w:sz="4" w:space="0" w:color="AAB7C4"/>
        </w:tblBorders>
      </w:tblPr>
      <w:tblGrid>
        <w:gridCol w:w="1800"/>
        <w:gridCol w:w="1150"/>
        <w:gridCol w:w="1150"/>
        <w:gridCol w:w="520"/>
        <w:gridCol w:w="620"/>
        <w:gridCol w:w="1180"/>
        <w:gridCol w:w="1500"/>
        <w:gridCol w:w="1100"/>
        <w:gridCol w:w="1700"/>
        <w:gridCol w:w="3560"/>
      </w:tblGrid>
      <w:tr>
        <w:trPr>
          <w:tblHeader w:val="true"/>
          <w:cantSplit/>
        </w:trPr>
        <w:tc>
          <w:tcPr>
            <w:tcW w:type="dxa" w:w="1800"/>
            <w:shd w:fill="E8EEF5"/>
            <w:tcMar>
              <w:top w:w="80" w:type="dxa"/>
              <w:start w:w="120" w:type="dxa"/>
              <w:bottom w:w="80" w:type="dxa"/>
              <w:end w:w="120" w:type="dxa"/>
            </w:tcMar>
            <w:vAlign w:val="center"/>
          </w:tcPr>
          <w:p>
            <w:pPr>
              <w:spacing w:before="0" w:after="0" w:line="240" w:lineRule="auto"/>
              <w:jc w:val="left"/>
            </w:pPr>
            <w:r>
              <w:rPr>
                <w:rFonts w:ascii="Calibri" w:hAnsi="Calibri"/>
                <w:b/>
                <w:color w:val="18324A"/>
                <w:sz w:val="13"/>
              </w:rPr>
              <w:t>Kouzlo</w:t>
            </w:r>
          </w:p>
        </w:tc>
        <w:tc>
          <w:tcPr>
            <w:tcW w:type="dxa" w:w="1150"/>
            <w:shd w:fill="E8EEF5"/>
            <w:tcMar>
              <w:top w:w="80" w:type="dxa"/>
              <w:start w:w="120" w:type="dxa"/>
              <w:bottom w:w="80" w:type="dxa"/>
              <w:end w:w="120" w:type="dxa"/>
            </w:tcMar>
            <w:vAlign w:val="center"/>
          </w:tcPr>
          <w:p>
            <w:pPr>
              <w:spacing w:before="0" w:after="0" w:line="240" w:lineRule="auto"/>
              <w:jc w:val="center"/>
            </w:pPr>
            <w:r>
              <w:rPr>
                <w:rFonts w:ascii="Calibri" w:hAnsi="Calibri"/>
                <w:b/>
                <w:color w:val="18324A"/>
                <w:sz w:val="13"/>
              </w:rPr>
              <w:t>Škola</w:t>
            </w:r>
          </w:p>
        </w:tc>
        <w:tc>
          <w:tcPr>
            <w:tcW w:type="dxa" w:w="1150"/>
            <w:shd w:fill="E8EEF5"/>
            <w:tcMar>
              <w:top w:w="80" w:type="dxa"/>
              <w:start w:w="120" w:type="dxa"/>
              <w:bottom w:w="80" w:type="dxa"/>
              <w:end w:w="120" w:type="dxa"/>
            </w:tcMar>
            <w:vAlign w:val="center"/>
          </w:tcPr>
          <w:p>
            <w:pPr>
              <w:spacing w:before="0" w:after="0" w:line="240" w:lineRule="auto"/>
              <w:jc w:val="center"/>
            </w:pPr>
            <w:r>
              <w:rPr>
                <w:rFonts w:ascii="Calibri" w:hAnsi="Calibri"/>
                <w:b/>
                <w:color w:val="18324A"/>
                <w:sz w:val="13"/>
              </w:rPr>
              <w:t>Typ</w:t>
            </w:r>
          </w:p>
        </w:tc>
        <w:tc>
          <w:tcPr>
            <w:tcW w:type="dxa" w:w="520"/>
            <w:shd w:fill="E8EEF5"/>
            <w:tcMar>
              <w:top w:w="80" w:type="dxa"/>
              <w:start w:w="120" w:type="dxa"/>
              <w:bottom w:w="80" w:type="dxa"/>
              <w:end w:w="120" w:type="dxa"/>
            </w:tcMar>
            <w:vAlign w:val="center"/>
          </w:tcPr>
          <w:p>
            <w:pPr>
              <w:spacing w:before="0" w:after="0" w:line="240" w:lineRule="auto"/>
              <w:jc w:val="center"/>
            </w:pPr>
            <w:r>
              <w:rPr>
                <w:rFonts w:ascii="Calibri" w:hAnsi="Calibri"/>
                <w:b/>
                <w:color w:val="18324A"/>
                <w:sz w:val="13"/>
              </w:rPr>
              <w:t>Min. CH</w:t>
            </w:r>
          </w:p>
        </w:tc>
        <w:tc>
          <w:tcPr>
            <w:tcW w:type="dxa" w:w="620"/>
            <w:shd w:fill="E8EEF5"/>
            <w:tcMar>
              <w:top w:w="80" w:type="dxa"/>
              <w:start w:w="120" w:type="dxa"/>
              <w:bottom w:w="80" w:type="dxa"/>
              <w:end w:w="120" w:type="dxa"/>
            </w:tcMar>
            <w:vAlign w:val="center"/>
          </w:tcPr>
          <w:p>
            <w:pPr>
              <w:spacing w:before="0" w:after="0" w:line="240" w:lineRule="auto"/>
              <w:jc w:val="center"/>
            </w:pPr>
            <w:r>
              <w:rPr>
                <w:rFonts w:ascii="Calibri" w:hAnsi="Calibri"/>
                <w:b/>
                <w:color w:val="18324A"/>
                <w:sz w:val="13"/>
              </w:rPr>
              <w:t>Min. Level</w:t>
            </w:r>
          </w:p>
        </w:tc>
        <w:tc>
          <w:tcPr>
            <w:tcW w:type="dxa" w:w="1180"/>
            <w:shd w:fill="E8EEF5"/>
            <w:tcMar>
              <w:top w:w="80" w:type="dxa"/>
              <w:start w:w="120" w:type="dxa"/>
              <w:bottom w:w="80" w:type="dxa"/>
              <w:end w:w="120" w:type="dxa"/>
            </w:tcMar>
            <w:vAlign w:val="center"/>
          </w:tcPr>
          <w:p>
            <w:pPr>
              <w:spacing w:before="0" w:after="0" w:line="240" w:lineRule="auto"/>
              <w:jc w:val="center"/>
            </w:pPr>
            <w:r>
              <w:rPr>
                <w:rFonts w:ascii="Calibri" w:hAnsi="Calibri"/>
                <w:b/>
                <w:color w:val="18324A"/>
                <w:sz w:val="13"/>
              </w:rPr>
              <w:t>Bonus</w:t>
            </w:r>
          </w:p>
        </w:tc>
        <w:tc>
          <w:tcPr>
            <w:tcW w:type="dxa" w:w="1500"/>
            <w:shd w:fill="E8EEF5"/>
            <w:tcMar>
              <w:top w:w="80" w:type="dxa"/>
              <w:start w:w="120" w:type="dxa"/>
              <w:bottom w:w="80" w:type="dxa"/>
              <w:end w:w="120" w:type="dxa"/>
            </w:tcMar>
            <w:vAlign w:val="center"/>
          </w:tcPr>
          <w:p>
            <w:pPr>
              <w:spacing w:before="0" w:after="0" w:line="240" w:lineRule="auto"/>
              <w:jc w:val="left"/>
            </w:pPr>
            <w:r>
              <w:rPr>
                <w:rFonts w:ascii="Calibri" w:hAnsi="Calibri"/>
                <w:b/>
                <w:color w:val="18324A"/>
                <w:sz w:val="13"/>
              </w:rPr>
              <w:t>Cíl</w:t>
            </w:r>
          </w:p>
        </w:tc>
        <w:tc>
          <w:tcPr>
            <w:tcW w:type="dxa" w:w="1100"/>
            <w:shd w:fill="E8EEF5"/>
            <w:tcMar>
              <w:top w:w="80" w:type="dxa"/>
              <w:start w:w="120" w:type="dxa"/>
              <w:bottom w:w="80" w:type="dxa"/>
              <w:end w:w="120" w:type="dxa"/>
            </w:tcMar>
            <w:vAlign w:val="center"/>
          </w:tcPr>
          <w:p>
            <w:pPr>
              <w:spacing w:before="0" w:after="0" w:line="240" w:lineRule="auto"/>
              <w:jc w:val="center"/>
            </w:pPr>
            <w:r>
              <w:rPr>
                <w:rFonts w:ascii="Calibri" w:hAnsi="Calibri"/>
                <w:b/>
                <w:color w:val="18324A"/>
                <w:sz w:val="13"/>
              </w:rPr>
              <w:t>Trvání</w:t>
            </w:r>
          </w:p>
        </w:tc>
        <w:tc>
          <w:tcPr>
            <w:tcW w:type="dxa" w:w="1700"/>
            <w:shd w:fill="E8EEF5"/>
            <w:tcMar>
              <w:top w:w="80" w:type="dxa"/>
              <w:start w:w="120" w:type="dxa"/>
              <w:bottom w:w="80" w:type="dxa"/>
              <w:end w:w="120" w:type="dxa"/>
            </w:tcMar>
            <w:vAlign w:val="center"/>
          </w:tcPr>
          <w:p>
            <w:pPr>
              <w:spacing w:before="0" w:after="0" w:line="240" w:lineRule="auto"/>
              <w:jc w:val="left"/>
            </w:pPr>
            <w:r>
              <w:rPr>
                <w:rFonts w:ascii="Calibri" w:hAnsi="Calibri"/>
                <w:b/>
                <w:color w:val="18324A"/>
                <w:sz w:val="13"/>
              </w:rPr>
              <w:t>Omezení</w:t>
            </w:r>
          </w:p>
        </w:tc>
        <w:tc>
          <w:tcPr>
            <w:tcW w:type="dxa" w:w="3560"/>
            <w:shd w:fill="E8EEF5"/>
            <w:tcMar>
              <w:top w:w="80" w:type="dxa"/>
              <w:start w:w="120" w:type="dxa"/>
              <w:bottom w:w="80" w:type="dxa"/>
              <w:end w:w="120" w:type="dxa"/>
            </w:tcMar>
            <w:vAlign w:val="center"/>
          </w:tcPr>
          <w:p>
            <w:pPr>
              <w:spacing w:before="0" w:after="0" w:line="240" w:lineRule="auto"/>
              <w:jc w:val="left"/>
            </w:pPr>
            <w:r>
              <w:rPr>
                <w:rFonts w:ascii="Calibri" w:hAnsi="Calibri"/>
                <w:b/>
                <w:color w:val="18324A"/>
                <w:sz w:val="13"/>
              </w:rPr>
              <w:t>Přesný účinek</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Jiskra</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Oheň</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útočné</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6</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+1 k MÚ</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cíl na dohled</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okamžitě</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Proveď magický útok. Zranění se vypočte běžným vzorcem proti MO cíle.</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Ohnivá střela</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Oheň</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útočné</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7</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+2 k MÚ</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cíl na dohled</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okamžitě</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Přímý jednobodový magický útok ohněm proti MO cíle.</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Žhavý dotek</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Oheň</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útočné</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8</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+3 k MÚ</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cíl na dosah ruky</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okamžitě</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sesilatel musí stát těsně u cíle</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Silnější útok vyvážený nutností dotyku; zranění se určí proti MO.</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Kouřová clona</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Oheň</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ovládací</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7</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prostor přibližně 3 m široký</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2 kola</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za souboj</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Útoky vedené skrz clonu mají −2 k výslednému FÚ nebo MÚ. Postih platí pro obě strany.</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Odolnost vůči žáru</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Oheň</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obranné</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7</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+3 MO proti ohni</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ochotný tvor na dosah</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1 scéna</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za scénu na cíl</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Cíl ignoruje běžné horko a získá +3 MO pouze proti ohnivým kouzlům a magickému žáru.</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Plamenný štít</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Oheň</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obranné</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8</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2</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+2 FO</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sesilatel nebo 1 spojenec na dohled</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2 kola</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za souboj; nesčítá se</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Cíl získá +2 FO pouze proti útokům zblízka. Štít sám nezraňuje útočníka.</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Ohnivé kopí</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Oheň</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útočné</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10</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5</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+5 k MÚ</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cíl na dohled</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okamžitě</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za souboj</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Silný jednobodový útok; zranění se vypočte běžným vzorcem proti MO.</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Ohnivá koule</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Oheň</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útočné plošné</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9</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3</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+3 k MÚ</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nejvýše 3 cíle blízko sebe</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okamžitě</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za souboj; platí společné plošné pravidlo</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Jeden hod MÚ se porovná zvlášť s MO každého cíle. Bonus je už snížen proti srovnatelnému jednobodovému kouzlu.</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Ohnivá zeď</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Oheň</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útočné / ovládací</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10</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5</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+2 k MÚ</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linie do 5 m; nejvýše 3 cíle při vzniku</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3 kola</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za souboj</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Při vzniku zasáhne nejvýše 3 cíle v linii podle plošného pravidla. Poté zeď zakrývá výhled a brání běžnému průchodu, ale už znovu nezraňuje.</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Dračí dech</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Oheň</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útočné plošné</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11</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7</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+4 k MÚ</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kužel; nejvýše 3 cíle</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okamžitě</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za dobrodružství; platí plošné pravidlo</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Velmi silný plošný ohnivý útok. Jeden hod MÚ se porovná zvlášť s MO každého cíle.</w:t>
            </w:r>
          </w:p>
        </w:tc>
      </w:tr>
    </w:tbl>
    <w:p>
      <w:r>
        <w:br w:type="page"/>
      </w:r>
    </w:p>
    <w:p>
      <w:pPr>
        <w:keepNext/>
        <w:spacing w:before="0" w:after="80"/>
      </w:pPr>
      <w:r>
        <w:rPr>
          <w:rFonts w:ascii="Calibri" w:hAnsi="Calibri"/>
          <w:b/>
          <w:color w:val="2E74B5"/>
          <w:sz w:val="25"/>
        </w:rPr>
        <w:t>3.3  Voda</w:t>
      </w:r>
    </w:p>
    <w:p>
      <w:pPr>
        <w:spacing w:before="0" w:after="100" w:line="252" w:lineRule="auto"/>
      </w:pPr>
      <w:r>
        <w:rPr>
          <w:rFonts w:ascii="Calibri" w:hAnsi="Calibri"/>
          <w:b w:val="0"/>
          <w:color w:val="000000"/>
          <w:sz w:val="17"/>
        </w:rPr>
        <w:t>Voda, led a chlad. Kombinuje útok, zpomalení, ochranu a pohyb ve vodním prostředí.</w:t>
      </w:r>
    </w:p>
    <w:tbl>
      <w:tblPr>
        <w:tblW w:type="dxa" w:w="14280"/>
        <w:jc w:val="left"/>
        <w:tblLayout w:type="fixed"/>
        <w:tblLook w:firstColumn="1" w:firstRow="1" w:lastColumn="0" w:lastRow="0" w:noHBand="0" w:noVBand="1" w:val="04A0"/>
        <w:tblInd w:w="120" w:type="dxa"/>
        <w:tblBorders>
          <w:top w:val="single" w:sz="4" w:space="0" w:color="AAB7C4"/>
          <w:left w:val="single" w:sz="4" w:space="0" w:color="AAB7C4"/>
          <w:bottom w:val="single" w:sz="4" w:space="0" w:color="AAB7C4"/>
          <w:right w:val="single" w:sz="4" w:space="0" w:color="AAB7C4"/>
          <w:insideH w:val="single" w:sz="4" w:space="0" w:color="AAB7C4"/>
          <w:insideV w:val="single" w:sz="4" w:space="0" w:color="AAB7C4"/>
        </w:tblBorders>
      </w:tblPr>
      <w:tblGrid>
        <w:gridCol w:w="1800"/>
        <w:gridCol w:w="1150"/>
        <w:gridCol w:w="1150"/>
        <w:gridCol w:w="520"/>
        <w:gridCol w:w="620"/>
        <w:gridCol w:w="1180"/>
        <w:gridCol w:w="1500"/>
        <w:gridCol w:w="1100"/>
        <w:gridCol w:w="1700"/>
        <w:gridCol w:w="3560"/>
      </w:tblGrid>
      <w:tr>
        <w:trPr>
          <w:tblHeader w:val="true"/>
          <w:cantSplit/>
        </w:trPr>
        <w:tc>
          <w:tcPr>
            <w:tcW w:type="dxa" w:w="1800"/>
            <w:shd w:fill="E8EEF5"/>
            <w:tcMar>
              <w:top w:w="80" w:type="dxa"/>
              <w:start w:w="120" w:type="dxa"/>
              <w:bottom w:w="80" w:type="dxa"/>
              <w:end w:w="120" w:type="dxa"/>
            </w:tcMar>
            <w:vAlign w:val="center"/>
          </w:tcPr>
          <w:p>
            <w:pPr>
              <w:spacing w:before="0" w:after="0" w:line="240" w:lineRule="auto"/>
              <w:jc w:val="left"/>
            </w:pPr>
            <w:r>
              <w:rPr>
                <w:rFonts w:ascii="Calibri" w:hAnsi="Calibri"/>
                <w:b/>
                <w:color w:val="18324A"/>
                <w:sz w:val="13"/>
              </w:rPr>
              <w:t>Kouzlo</w:t>
            </w:r>
          </w:p>
        </w:tc>
        <w:tc>
          <w:tcPr>
            <w:tcW w:type="dxa" w:w="1150"/>
            <w:shd w:fill="E8EEF5"/>
            <w:tcMar>
              <w:top w:w="80" w:type="dxa"/>
              <w:start w:w="120" w:type="dxa"/>
              <w:bottom w:w="80" w:type="dxa"/>
              <w:end w:w="120" w:type="dxa"/>
            </w:tcMar>
            <w:vAlign w:val="center"/>
          </w:tcPr>
          <w:p>
            <w:pPr>
              <w:spacing w:before="0" w:after="0" w:line="240" w:lineRule="auto"/>
              <w:jc w:val="center"/>
            </w:pPr>
            <w:r>
              <w:rPr>
                <w:rFonts w:ascii="Calibri" w:hAnsi="Calibri"/>
                <w:b/>
                <w:color w:val="18324A"/>
                <w:sz w:val="13"/>
              </w:rPr>
              <w:t>Škola</w:t>
            </w:r>
          </w:p>
        </w:tc>
        <w:tc>
          <w:tcPr>
            <w:tcW w:type="dxa" w:w="1150"/>
            <w:shd w:fill="E8EEF5"/>
            <w:tcMar>
              <w:top w:w="80" w:type="dxa"/>
              <w:start w:w="120" w:type="dxa"/>
              <w:bottom w:w="80" w:type="dxa"/>
              <w:end w:w="120" w:type="dxa"/>
            </w:tcMar>
            <w:vAlign w:val="center"/>
          </w:tcPr>
          <w:p>
            <w:pPr>
              <w:spacing w:before="0" w:after="0" w:line="240" w:lineRule="auto"/>
              <w:jc w:val="center"/>
            </w:pPr>
            <w:r>
              <w:rPr>
                <w:rFonts w:ascii="Calibri" w:hAnsi="Calibri"/>
                <w:b/>
                <w:color w:val="18324A"/>
                <w:sz w:val="13"/>
              </w:rPr>
              <w:t>Typ</w:t>
            </w:r>
          </w:p>
        </w:tc>
        <w:tc>
          <w:tcPr>
            <w:tcW w:type="dxa" w:w="520"/>
            <w:shd w:fill="E8EEF5"/>
            <w:tcMar>
              <w:top w:w="80" w:type="dxa"/>
              <w:start w:w="120" w:type="dxa"/>
              <w:bottom w:w="80" w:type="dxa"/>
              <w:end w:w="120" w:type="dxa"/>
            </w:tcMar>
            <w:vAlign w:val="center"/>
          </w:tcPr>
          <w:p>
            <w:pPr>
              <w:spacing w:before="0" w:after="0" w:line="240" w:lineRule="auto"/>
              <w:jc w:val="center"/>
            </w:pPr>
            <w:r>
              <w:rPr>
                <w:rFonts w:ascii="Calibri" w:hAnsi="Calibri"/>
                <w:b/>
                <w:color w:val="18324A"/>
                <w:sz w:val="13"/>
              </w:rPr>
              <w:t>Min. CH</w:t>
            </w:r>
          </w:p>
        </w:tc>
        <w:tc>
          <w:tcPr>
            <w:tcW w:type="dxa" w:w="620"/>
            <w:shd w:fill="E8EEF5"/>
            <w:tcMar>
              <w:top w:w="80" w:type="dxa"/>
              <w:start w:w="120" w:type="dxa"/>
              <w:bottom w:w="80" w:type="dxa"/>
              <w:end w:w="120" w:type="dxa"/>
            </w:tcMar>
            <w:vAlign w:val="center"/>
          </w:tcPr>
          <w:p>
            <w:pPr>
              <w:spacing w:before="0" w:after="0" w:line="240" w:lineRule="auto"/>
              <w:jc w:val="center"/>
            </w:pPr>
            <w:r>
              <w:rPr>
                <w:rFonts w:ascii="Calibri" w:hAnsi="Calibri"/>
                <w:b/>
                <w:color w:val="18324A"/>
                <w:sz w:val="13"/>
              </w:rPr>
              <w:t>Min. Level</w:t>
            </w:r>
          </w:p>
        </w:tc>
        <w:tc>
          <w:tcPr>
            <w:tcW w:type="dxa" w:w="1180"/>
            <w:shd w:fill="E8EEF5"/>
            <w:tcMar>
              <w:top w:w="80" w:type="dxa"/>
              <w:start w:w="120" w:type="dxa"/>
              <w:bottom w:w="80" w:type="dxa"/>
              <w:end w:w="120" w:type="dxa"/>
            </w:tcMar>
            <w:vAlign w:val="center"/>
          </w:tcPr>
          <w:p>
            <w:pPr>
              <w:spacing w:before="0" w:after="0" w:line="240" w:lineRule="auto"/>
              <w:jc w:val="center"/>
            </w:pPr>
            <w:r>
              <w:rPr>
                <w:rFonts w:ascii="Calibri" w:hAnsi="Calibri"/>
                <w:b/>
                <w:color w:val="18324A"/>
                <w:sz w:val="13"/>
              </w:rPr>
              <w:t>Bonus</w:t>
            </w:r>
          </w:p>
        </w:tc>
        <w:tc>
          <w:tcPr>
            <w:tcW w:type="dxa" w:w="1500"/>
            <w:shd w:fill="E8EEF5"/>
            <w:tcMar>
              <w:top w:w="80" w:type="dxa"/>
              <w:start w:w="120" w:type="dxa"/>
              <w:bottom w:w="80" w:type="dxa"/>
              <w:end w:w="120" w:type="dxa"/>
            </w:tcMar>
            <w:vAlign w:val="center"/>
          </w:tcPr>
          <w:p>
            <w:pPr>
              <w:spacing w:before="0" w:after="0" w:line="240" w:lineRule="auto"/>
              <w:jc w:val="left"/>
            </w:pPr>
            <w:r>
              <w:rPr>
                <w:rFonts w:ascii="Calibri" w:hAnsi="Calibri"/>
                <w:b/>
                <w:color w:val="18324A"/>
                <w:sz w:val="13"/>
              </w:rPr>
              <w:t>Cíl</w:t>
            </w:r>
          </w:p>
        </w:tc>
        <w:tc>
          <w:tcPr>
            <w:tcW w:type="dxa" w:w="1100"/>
            <w:shd w:fill="E8EEF5"/>
            <w:tcMar>
              <w:top w:w="80" w:type="dxa"/>
              <w:start w:w="120" w:type="dxa"/>
              <w:bottom w:w="80" w:type="dxa"/>
              <w:end w:w="120" w:type="dxa"/>
            </w:tcMar>
            <w:vAlign w:val="center"/>
          </w:tcPr>
          <w:p>
            <w:pPr>
              <w:spacing w:before="0" w:after="0" w:line="240" w:lineRule="auto"/>
              <w:jc w:val="center"/>
            </w:pPr>
            <w:r>
              <w:rPr>
                <w:rFonts w:ascii="Calibri" w:hAnsi="Calibri"/>
                <w:b/>
                <w:color w:val="18324A"/>
                <w:sz w:val="13"/>
              </w:rPr>
              <w:t>Trvání</w:t>
            </w:r>
          </w:p>
        </w:tc>
        <w:tc>
          <w:tcPr>
            <w:tcW w:type="dxa" w:w="1700"/>
            <w:shd w:fill="E8EEF5"/>
            <w:tcMar>
              <w:top w:w="80" w:type="dxa"/>
              <w:start w:w="120" w:type="dxa"/>
              <w:bottom w:w="80" w:type="dxa"/>
              <w:end w:w="120" w:type="dxa"/>
            </w:tcMar>
            <w:vAlign w:val="center"/>
          </w:tcPr>
          <w:p>
            <w:pPr>
              <w:spacing w:before="0" w:after="0" w:line="240" w:lineRule="auto"/>
              <w:jc w:val="left"/>
            </w:pPr>
            <w:r>
              <w:rPr>
                <w:rFonts w:ascii="Calibri" w:hAnsi="Calibri"/>
                <w:b/>
                <w:color w:val="18324A"/>
                <w:sz w:val="13"/>
              </w:rPr>
              <w:t>Omezení</w:t>
            </w:r>
          </w:p>
        </w:tc>
        <w:tc>
          <w:tcPr>
            <w:tcW w:type="dxa" w:w="3560"/>
            <w:shd w:fill="E8EEF5"/>
            <w:tcMar>
              <w:top w:w="80" w:type="dxa"/>
              <w:start w:w="120" w:type="dxa"/>
              <w:bottom w:w="80" w:type="dxa"/>
              <w:end w:w="120" w:type="dxa"/>
            </w:tcMar>
            <w:vAlign w:val="center"/>
          </w:tcPr>
          <w:p>
            <w:pPr>
              <w:spacing w:before="0" w:after="0" w:line="240" w:lineRule="auto"/>
              <w:jc w:val="left"/>
            </w:pPr>
            <w:r>
              <w:rPr>
                <w:rFonts w:ascii="Calibri" w:hAnsi="Calibri"/>
                <w:b/>
                <w:color w:val="18324A"/>
                <w:sz w:val="13"/>
              </w:rPr>
              <w:t>Přesný účinek</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Vytvoření vody</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Voda</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užitkové</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6</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prázdná nádoba na dosah</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okamžitě</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nejvýše 5 litrů za scénu</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Vytvoří čistou pitnou vodu v připravené nádobě. Nevytvoří tlakový proud ani led.</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Vodní proud</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Voda</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útočné / ovládací</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7</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+1 k MÚ</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cíl na dohled</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okamžitě</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posunutí nejvýše 1× na stejný cíl za kolo</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Při zranění alespoň 1 Ž navíc odstrčí běžný cíl o krátký krok. Velký nebo hlavní protivník se neposune.</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Ledová střela</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Voda</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útočné</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7</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+2 k MÚ</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cíl na dohled</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okamžitě</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Přímý ledový útok; zranění se vypočte proti MO cíle.</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Mrazivý dotek</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Voda</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útočné / ovládací</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8</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+2 k MÚ</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cíl na dosah ruky</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do konce příštího tahu cíle</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Při zranění alespoň 1 Ž má cíl navíc −1 k příštímu FÚ. Postih se nesčítá.</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Kráčení po vodě</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Voda</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pohybové</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7</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ochotný tvor na dosah</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10 minut</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za scénu na cíl</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Cíl se může pohybovat po klidné vodní hladině jako po pevné zemi. Prudká vlna může vyžadovat zkoušku O.</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Dýchání pod vodou</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Voda</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užitkové</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8</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ochotný tvor na dosah</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10 minut</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za scénu na cíl</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Cíl může normálně dýchat pod vodou. Kouzlo nepřidává rychlost, vidění ani odolnost proti tlaku.</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Ledový štít</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Voda</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obranné</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8</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2</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+2 FO</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sesilatel nebo 1 spojenec na dohled</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2 kola</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za souboj; nesčítá se</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Cíl získá +2 FO proti fyzickým útokům.</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Zmrazení</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Voda</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ovládací</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9</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3</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+2 k MÚ</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cíl na dohled</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1 kolo</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na stejný cíl za souboj; platí pravidlo hlavního protivníka</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Při úspěchu je běžný cíl přimražen k místu a nemůže se přesunout; stále může jednat na dosah. Hlavní protivník má místo toho −2 k příštímu pohybovému testu.</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Ledová zeď</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Voda</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obranné / ovládací</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10</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5</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nezvyšuje FO ani MO; zeď má FO 12</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volná linie do 4 m</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3 kola</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za souboj</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Vytvoří překážku s 10 Ž a FO 12, která blokuje pohyb i výhled. Po skončení roztaje bez nebezpečné záplavy.</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Ledová bouře</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Voda</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útočné plošné</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11</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7</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+4 k MÚ</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nejvýše 3 cíle blízko sebe</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okamžitě</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za dobrodružství; platí plošné pravidlo</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Jeden hod MÚ se porovná zvlášť s MO každého cíle. Zasažený cíl má navíc −1 k příštímu pohybovému testu.</w:t>
            </w:r>
          </w:p>
        </w:tc>
      </w:tr>
    </w:tbl>
    <w:p>
      <w:r>
        <w:br w:type="page"/>
      </w:r>
    </w:p>
    <w:p>
      <w:pPr>
        <w:keepNext/>
        <w:spacing w:before="0" w:after="80"/>
      </w:pPr>
      <w:r>
        <w:rPr>
          <w:rFonts w:ascii="Calibri" w:hAnsi="Calibri"/>
          <w:b/>
          <w:color w:val="2E74B5"/>
          <w:sz w:val="25"/>
        </w:rPr>
        <w:t>3.4  Vzduch</w:t>
      </w:r>
    </w:p>
    <w:p>
      <w:pPr>
        <w:spacing w:before="0" w:after="100" w:line="252" w:lineRule="auto"/>
      </w:pPr>
      <w:r>
        <w:rPr>
          <w:rFonts w:ascii="Calibri" w:hAnsi="Calibri"/>
          <w:b w:val="0"/>
          <w:color w:val="000000"/>
          <w:sz w:val="17"/>
        </w:rPr>
        <w:t>Vítr, blesky, bouře, levitace, let a teleportace. Teleportace patří sem, nikoli do Hvězdné magie.</w:t>
      </w:r>
    </w:p>
    <w:tbl>
      <w:tblPr>
        <w:tblW w:type="dxa" w:w="14280"/>
        <w:jc w:val="left"/>
        <w:tblLayout w:type="fixed"/>
        <w:tblLook w:firstColumn="1" w:firstRow="1" w:lastColumn="0" w:lastRow="0" w:noHBand="0" w:noVBand="1" w:val="04A0"/>
        <w:tblInd w:w="120" w:type="dxa"/>
        <w:tblBorders>
          <w:top w:val="single" w:sz="4" w:space="0" w:color="AAB7C4"/>
          <w:left w:val="single" w:sz="4" w:space="0" w:color="AAB7C4"/>
          <w:bottom w:val="single" w:sz="4" w:space="0" w:color="AAB7C4"/>
          <w:right w:val="single" w:sz="4" w:space="0" w:color="AAB7C4"/>
          <w:insideH w:val="single" w:sz="4" w:space="0" w:color="AAB7C4"/>
          <w:insideV w:val="single" w:sz="4" w:space="0" w:color="AAB7C4"/>
        </w:tblBorders>
      </w:tblPr>
      <w:tblGrid>
        <w:gridCol w:w="1800"/>
        <w:gridCol w:w="1150"/>
        <w:gridCol w:w="1150"/>
        <w:gridCol w:w="520"/>
        <w:gridCol w:w="620"/>
        <w:gridCol w:w="1180"/>
        <w:gridCol w:w="1500"/>
        <w:gridCol w:w="1100"/>
        <w:gridCol w:w="1700"/>
        <w:gridCol w:w="3560"/>
      </w:tblGrid>
      <w:tr>
        <w:trPr>
          <w:tblHeader w:val="true"/>
          <w:cantSplit/>
        </w:trPr>
        <w:tc>
          <w:tcPr>
            <w:tcW w:type="dxa" w:w="1800"/>
            <w:shd w:fill="E8EEF5"/>
            <w:tcMar>
              <w:top w:w="80" w:type="dxa"/>
              <w:start w:w="120" w:type="dxa"/>
              <w:bottom w:w="80" w:type="dxa"/>
              <w:end w:w="120" w:type="dxa"/>
            </w:tcMar>
            <w:vAlign w:val="center"/>
          </w:tcPr>
          <w:p>
            <w:pPr>
              <w:spacing w:before="0" w:after="0" w:line="240" w:lineRule="auto"/>
              <w:jc w:val="left"/>
            </w:pPr>
            <w:r>
              <w:rPr>
                <w:rFonts w:ascii="Calibri" w:hAnsi="Calibri"/>
                <w:b/>
                <w:color w:val="18324A"/>
                <w:sz w:val="13"/>
              </w:rPr>
              <w:t>Kouzlo</w:t>
            </w:r>
          </w:p>
        </w:tc>
        <w:tc>
          <w:tcPr>
            <w:tcW w:type="dxa" w:w="1150"/>
            <w:shd w:fill="E8EEF5"/>
            <w:tcMar>
              <w:top w:w="80" w:type="dxa"/>
              <w:start w:w="120" w:type="dxa"/>
              <w:bottom w:w="80" w:type="dxa"/>
              <w:end w:w="120" w:type="dxa"/>
            </w:tcMar>
            <w:vAlign w:val="center"/>
          </w:tcPr>
          <w:p>
            <w:pPr>
              <w:spacing w:before="0" w:after="0" w:line="240" w:lineRule="auto"/>
              <w:jc w:val="center"/>
            </w:pPr>
            <w:r>
              <w:rPr>
                <w:rFonts w:ascii="Calibri" w:hAnsi="Calibri"/>
                <w:b/>
                <w:color w:val="18324A"/>
                <w:sz w:val="13"/>
              </w:rPr>
              <w:t>Škola</w:t>
            </w:r>
          </w:p>
        </w:tc>
        <w:tc>
          <w:tcPr>
            <w:tcW w:type="dxa" w:w="1150"/>
            <w:shd w:fill="E8EEF5"/>
            <w:tcMar>
              <w:top w:w="80" w:type="dxa"/>
              <w:start w:w="120" w:type="dxa"/>
              <w:bottom w:w="80" w:type="dxa"/>
              <w:end w:w="120" w:type="dxa"/>
            </w:tcMar>
            <w:vAlign w:val="center"/>
          </w:tcPr>
          <w:p>
            <w:pPr>
              <w:spacing w:before="0" w:after="0" w:line="240" w:lineRule="auto"/>
              <w:jc w:val="center"/>
            </w:pPr>
            <w:r>
              <w:rPr>
                <w:rFonts w:ascii="Calibri" w:hAnsi="Calibri"/>
                <w:b/>
                <w:color w:val="18324A"/>
                <w:sz w:val="13"/>
              </w:rPr>
              <w:t>Typ</w:t>
            </w:r>
          </w:p>
        </w:tc>
        <w:tc>
          <w:tcPr>
            <w:tcW w:type="dxa" w:w="520"/>
            <w:shd w:fill="E8EEF5"/>
            <w:tcMar>
              <w:top w:w="80" w:type="dxa"/>
              <w:start w:w="120" w:type="dxa"/>
              <w:bottom w:w="80" w:type="dxa"/>
              <w:end w:w="120" w:type="dxa"/>
            </w:tcMar>
            <w:vAlign w:val="center"/>
          </w:tcPr>
          <w:p>
            <w:pPr>
              <w:spacing w:before="0" w:after="0" w:line="240" w:lineRule="auto"/>
              <w:jc w:val="center"/>
            </w:pPr>
            <w:r>
              <w:rPr>
                <w:rFonts w:ascii="Calibri" w:hAnsi="Calibri"/>
                <w:b/>
                <w:color w:val="18324A"/>
                <w:sz w:val="13"/>
              </w:rPr>
              <w:t>Min. CH</w:t>
            </w:r>
          </w:p>
        </w:tc>
        <w:tc>
          <w:tcPr>
            <w:tcW w:type="dxa" w:w="620"/>
            <w:shd w:fill="E8EEF5"/>
            <w:tcMar>
              <w:top w:w="80" w:type="dxa"/>
              <w:start w:w="120" w:type="dxa"/>
              <w:bottom w:w="80" w:type="dxa"/>
              <w:end w:w="120" w:type="dxa"/>
            </w:tcMar>
            <w:vAlign w:val="center"/>
          </w:tcPr>
          <w:p>
            <w:pPr>
              <w:spacing w:before="0" w:after="0" w:line="240" w:lineRule="auto"/>
              <w:jc w:val="center"/>
            </w:pPr>
            <w:r>
              <w:rPr>
                <w:rFonts w:ascii="Calibri" w:hAnsi="Calibri"/>
                <w:b/>
                <w:color w:val="18324A"/>
                <w:sz w:val="13"/>
              </w:rPr>
              <w:t>Min. Level</w:t>
            </w:r>
          </w:p>
        </w:tc>
        <w:tc>
          <w:tcPr>
            <w:tcW w:type="dxa" w:w="1180"/>
            <w:shd w:fill="E8EEF5"/>
            <w:tcMar>
              <w:top w:w="80" w:type="dxa"/>
              <w:start w:w="120" w:type="dxa"/>
              <w:bottom w:w="80" w:type="dxa"/>
              <w:end w:w="120" w:type="dxa"/>
            </w:tcMar>
            <w:vAlign w:val="center"/>
          </w:tcPr>
          <w:p>
            <w:pPr>
              <w:spacing w:before="0" w:after="0" w:line="240" w:lineRule="auto"/>
              <w:jc w:val="center"/>
            </w:pPr>
            <w:r>
              <w:rPr>
                <w:rFonts w:ascii="Calibri" w:hAnsi="Calibri"/>
                <w:b/>
                <w:color w:val="18324A"/>
                <w:sz w:val="13"/>
              </w:rPr>
              <w:t>Bonus</w:t>
            </w:r>
          </w:p>
        </w:tc>
        <w:tc>
          <w:tcPr>
            <w:tcW w:type="dxa" w:w="1500"/>
            <w:shd w:fill="E8EEF5"/>
            <w:tcMar>
              <w:top w:w="80" w:type="dxa"/>
              <w:start w:w="120" w:type="dxa"/>
              <w:bottom w:w="80" w:type="dxa"/>
              <w:end w:w="120" w:type="dxa"/>
            </w:tcMar>
            <w:vAlign w:val="center"/>
          </w:tcPr>
          <w:p>
            <w:pPr>
              <w:spacing w:before="0" w:after="0" w:line="240" w:lineRule="auto"/>
              <w:jc w:val="left"/>
            </w:pPr>
            <w:r>
              <w:rPr>
                <w:rFonts w:ascii="Calibri" w:hAnsi="Calibri"/>
                <w:b/>
                <w:color w:val="18324A"/>
                <w:sz w:val="13"/>
              </w:rPr>
              <w:t>Cíl</w:t>
            </w:r>
          </w:p>
        </w:tc>
        <w:tc>
          <w:tcPr>
            <w:tcW w:type="dxa" w:w="1100"/>
            <w:shd w:fill="E8EEF5"/>
            <w:tcMar>
              <w:top w:w="80" w:type="dxa"/>
              <w:start w:w="120" w:type="dxa"/>
              <w:bottom w:w="80" w:type="dxa"/>
              <w:end w:w="120" w:type="dxa"/>
            </w:tcMar>
            <w:vAlign w:val="center"/>
          </w:tcPr>
          <w:p>
            <w:pPr>
              <w:spacing w:before="0" w:after="0" w:line="240" w:lineRule="auto"/>
              <w:jc w:val="center"/>
            </w:pPr>
            <w:r>
              <w:rPr>
                <w:rFonts w:ascii="Calibri" w:hAnsi="Calibri"/>
                <w:b/>
                <w:color w:val="18324A"/>
                <w:sz w:val="13"/>
              </w:rPr>
              <w:t>Trvání</w:t>
            </w:r>
          </w:p>
        </w:tc>
        <w:tc>
          <w:tcPr>
            <w:tcW w:type="dxa" w:w="1700"/>
            <w:shd w:fill="E8EEF5"/>
            <w:tcMar>
              <w:top w:w="80" w:type="dxa"/>
              <w:start w:w="120" w:type="dxa"/>
              <w:bottom w:w="80" w:type="dxa"/>
              <w:end w:w="120" w:type="dxa"/>
            </w:tcMar>
            <w:vAlign w:val="center"/>
          </w:tcPr>
          <w:p>
            <w:pPr>
              <w:spacing w:before="0" w:after="0" w:line="240" w:lineRule="auto"/>
              <w:jc w:val="left"/>
            </w:pPr>
            <w:r>
              <w:rPr>
                <w:rFonts w:ascii="Calibri" w:hAnsi="Calibri"/>
                <w:b/>
                <w:color w:val="18324A"/>
                <w:sz w:val="13"/>
              </w:rPr>
              <w:t>Omezení</w:t>
            </w:r>
          </w:p>
        </w:tc>
        <w:tc>
          <w:tcPr>
            <w:tcW w:type="dxa" w:w="3560"/>
            <w:shd w:fill="E8EEF5"/>
            <w:tcMar>
              <w:top w:w="80" w:type="dxa"/>
              <w:start w:w="120" w:type="dxa"/>
              <w:bottom w:w="80" w:type="dxa"/>
              <w:end w:w="120" w:type="dxa"/>
            </w:tcMar>
            <w:vAlign w:val="center"/>
          </w:tcPr>
          <w:p>
            <w:pPr>
              <w:spacing w:before="0" w:after="0" w:line="240" w:lineRule="auto"/>
              <w:jc w:val="left"/>
            </w:pPr>
            <w:r>
              <w:rPr>
                <w:rFonts w:ascii="Calibri" w:hAnsi="Calibri"/>
                <w:b/>
                <w:color w:val="18324A"/>
                <w:sz w:val="13"/>
              </w:rPr>
              <w:t>Přesný účinek</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Poryv větru</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Vzduch</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ovládací / užitkové</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6</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+0 k MÚ proti tvoru</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lehký předmět nebo 1 cíl do 10 m</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okamžitě</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pokus na stejný cíl za kolo</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Předmět do 5 kg odfoukne o několik metrů. Proti tvoru se provede MÚ proti MO; běžný cíl se posune o krátký krok, velký či hlavní ne.</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Tlumený pád</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Vzduch</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pohybové / obranné</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6</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nezvyšuje FO ani MO</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padající tvor na dohled</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okamžitá reakce</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2× za scénu</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Zruší zranění z pádu do 10 m a dovolí bezpečné přistání. Nezastaví jiný útok ani padající předmět.</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Blesková střela</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Vzduch</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útočné</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7</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+2 k MÚ</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cíl na dohled</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okamžitě</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Přímý bleskový útok proti MO cíle.</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Větrný štít</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Vzduch</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obranné</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7</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+2 FO</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sesilatel nebo 1 spojenec na dohled</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2 kola</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za souboj; pouze proti střelám; nesčítá se</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Cíl získá +2 FO proti fyzickým útokům na dálku. Nechrání proti boji zblízka ani kouzlům.</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Levitace</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Vzduch</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pohybové / ovládací</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8</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2</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+0 k MÚ proti neochotnému cíli</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tvor nebo předmět do 100 kg a 10 m</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soustředění, nejvýše 3 kola</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za scénu; hlavní protivník neztratí akci</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Cíl se zvedne nejvýše 3 m a může se pomalu pohybovat svisle. Neochotný tvor se brání MO. Hlavní protivník se nezvedne a do konce příštího tahu má poloviční pohyb.</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Blesk</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Vzduch</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útočné</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9</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2</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+4 k MÚ</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cíl na dohled</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okamžitě</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za souboj</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Silný jednobodový bleskový útok proti MO cíle.</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Teleportace předmětu</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Vzduch</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pohybové / užitkové</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9</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3</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+0 k MÚ u drženého předmětu</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nemagický předmět do 5 kg</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okamžitě</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za scénu; výchozí i cílové místo musí být na dohled a do 20 m</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Přenese volný předmět na prázdné místo. U drženého předmětu je nutný MÚ proti MO držitele; předmět hlavního protivníka nelze vzít.</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Let</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Vzduch</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pohybové</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10</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5</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sesilatel nebo 1 ochotný tvor na dosah</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3 kola v souboji nebo 10 minut mimo něj</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za scénu</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Cíl létá přibližně rychlostí běhu. Po skončení bezpečně klesne nejvýše 3 m; z větší výšky potřebuje Tlumený pád.</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Řetězový blesk</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Vzduch</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útočné plošné</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10</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5</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+3 k MÚ</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nejvýše 3 cíle, každý do několika metrů od předchozího</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okamžitě</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za souboj; platí plošné pravidlo</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Jeden hod MÚ se porovná zvlášť s MO každého cíle.</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Teleportace osoby</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Vzduch</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pohybové</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11</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7</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sesilatel nebo 1 ochotný tvor na dosah</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okamžitě</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za souboj; cílové prázdné místo musí být na dohled a do 30 m</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Přenese cíl na viditelné bezpečné místo. Neprochází do neznámého prostoru ani mezi světy.</w:t>
            </w:r>
          </w:p>
        </w:tc>
      </w:tr>
    </w:tbl>
    <w:p>
      <w:r>
        <w:br w:type="page"/>
      </w:r>
    </w:p>
    <w:p>
      <w:pPr>
        <w:keepNext/>
        <w:spacing w:before="0" w:after="80"/>
      </w:pPr>
      <w:r>
        <w:rPr>
          <w:rFonts w:ascii="Calibri" w:hAnsi="Calibri"/>
          <w:b/>
          <w:color w:val="2E74B5"/>
          <w:sz w:val="25"/>
        </w:rPr>
        <w:t>3.5  Země</w:t>
      </w:r>
    </w:p>
    <w:p>
      <w:pPr>
        <w:spacing w:before="0" w:after="100" w:line="252" w:lineRule="auto"/>
      </w:pPr>
      <w:r>
        <w:rPr>
          <w:rFonts w:ascii="Calibri" w:hAnsi="Calibri"/>
          <w:b w:val="0"/>
          <w:color w:val="000000"/>
          <w:sz w:val="17"/>
        </w:rPr>
        <w:t>Půda, kámen, minerály, pevnost a fyzická ochrana. Vyniká v obraně a změně terénu.</w:t>
      </w:r>
    </w:p>
    <w:tbl>
      <w:tblPr>
        <w:tblW w:type="dxa" w:w="14280"/>
        <w:jc w:val="left"/>
        <w:tblLayout w:type="fixed"/>
        <w:tblLook w:firstColumn="1" w:firstRow="1" w:lastColumn="0" w:lastRow="0" w:noHBand="0" w:noVBand="1" w:val="04A0"/>
        <w:tblInd w:w="120" w:type="dxa"/>
        <w:tblBorders>
          <w:top w:val="single" w:sz="4" w:space="0" w:color="AAB7C4"/>
          <w:left w:val="single" w:sz="4" w:space="0" w:color="AAB7C4"/>
          <w:bottom w:val="single" w:sz="4" w:space="0" w:color="AAB7C4"/>
          <w:right w:val="single" w:sz="4" w:space="0" w:color="AAB7C4"/>
          <w:insideH w:val="single" w:sz="4" w:space="0" w:color="AAB7C4"/>
          <w:insideV w:val="single" w:sz="4" w:space="0" w:color="AAB7C4"/>
        </w:tblBorders>
      </w:tblPr>
      <w:tblGrid>
        <w:gridCol w:w="1800"/>
        <w:gridCol w:w="1150"/>
        <w:gridCol w:w="1150"/>
        <w:gridCol w:w="520"/>
        <w:gridCol w:w="620"/>
        <w:gridCol w:w="1180"/>
        <w:gridCol w:w="1500"/>
        <w:gridCol w:w="1100"/>
        <w:gridCol w:w="1700"/>
        <w:gridCol w:w="3560"/>
      </w:tblGrid>
      <w:tr>
        <w:trPr>
          <w:tblHeader w:val="true"/>
          <w:cantSplit/>
        </w:trPr>
        <w:tc>
          <w:tcPr>
            <w:tcW w:type="dxa" w:w="1800"/>
            <w:shd w:fill="E8EEF5"/>
            <w:tcMar>
              <w:top w:w="80" w:type="dxa"/>
              <w:start w:w="120" w:type="dxa"/>
              <w:bottom w:w="80" w:type="dxa"/>
              <w:end w:w="120" w:type="dxa"/>
            </w:tcMar>
            <w:vAlign w:val="center"/>
          </w:tcPr>
          <w:p>
            <w:pPr>
              <w:spacing w:before="0" w:after="0" w:line="240" w:lineRule="auto"/>
              <w:jc w:val="left"/>
            </w:pPr>
            <w:r>
              <w:rPr>
                <w:rFonts w:ascii="Calibri" w:hAnsi="Calibri"/>
                <w:b/>
                <w:color w:val="18324A"/>
                <w:sz w:val="13"/>
              </w:rPr>
              <w:t>Kouzlo</w:t>
            </w:r>
          </w:p>
        </w:tc>
        <w:tc>
          <w:tcPr>
            <w:tcW w:type="dxa" w:w="1150"/>
            <w:shd w:fill="E8EEF5"/>
            <w:tcMar>
              <w:top w:w="80" w:type="dxa"/>
              <w:start w:w="120" w:type="dxa"/>
              <w:bottom w:w="80" w:type="dxa"/>
              <w:end w:w="120" w:type="dxa"/>
            </w:tcMar>
            <w:vAlign w:val="center"/>
          </w:tcPr>
          <w:p>
            <w:pPr>
              <w:spacing w:before="0" w:after="0" w:line="240" w:lineRule="auto"/>
              <w:jc w:val="center"/>
            </w:pPr>
            <w:r>
              <w:rPr>
                <w:rFonts w:ascii="Calibri" w:hAnsi="Calibri"/>
                <w:b/>
                <w:color w:val="18324A"/>
                <w:sz w:val="13"/>
              </w:rPr>
              <w:t>Škola</w:t>
            </w:r>
          </w:p>
        </w:tc>
        <w:tc>
          <w:tcPr>
            <w:tcW w:type="dxa" w:w="1150"/>
            <w:shd w:fill="E8EEF5"/>
            <w:tcMar>
              <w:top w:w="80" w:type="dxa"/>
              <w:start w:w="120" w:type="dxa"/>
              <w:bottom w:w="80" w:type="dxa"/>
              <w:end w:w="120" w:type="dxa"/>
            </w:tcMar>
            <w:vAlign w:val="center"/>
          </w:tcPr>
          <w:p>
            <w:pPr>
              <w:spacing w:before="0" w:after="0" w:line="240" w:lineRule="auto"/>
              <w:jc w:val="center"/>
            </w:pPr>
            <w:r>
              <w:rPr>
                <w:rFonts w:ascii="Calibri" w:hAnsi="Calibri"/>
                <w:b/>
                <w:color w:val="18324A"/>
                <w:sz w:val="13"/>
              </w:rPr>
              <w:t>Typ</w:t>
            </w:r>
          </w:p>
        </w:tc>
        <w:tc>
          <w:tcPr>
            <w:tcW w:type="dxa" w:w="520"/>
            <w:shd w:fill="E8EEF5"/>
            <w:tcMar>
              <w:top w:w="80" w:type="dxa"/>
              <w:start w:w="120" w:type="dxa"/>
              <w:bottom w:w="80" w:type="dxa"/>
              <w:end w:w="120" w:type="dxa"/>
            </w:tcMar>
            <w:vAlign w:val="center"/>
          </w:tcPr>
          <w:p>
            <w:pPr>
              <w:spacing w:before="0" w:after="0" w:line="240" w:lineRule="auto"/>
              <w:jc w:val="center"/>
            </w:pPr>
            <w:r>
              <w:rPr>
                <w:rFonts w:ascii="Calibri" w:hAnsi="Calibri"/>
                <w:b/>
                <w:color w:val="18324A"/>
                <w:sz w:val="13"/>
              </w:rPr>
              <w:t>Min. CH</w:t>
            </w:r>
          </w:p>
        </w:tc>
        <w:tc>
          <w:tcPr>
            <w:tcW w:type="dxa" w:w="620"/>
            <w:shd w:fill="E8EEF5"/>
            <w:tcMar>
              <w:top w:w="80" w:type="dxa"/>
              <w:start w:w="120" w:type="dxa"/>
              <w:bottom w:w="80" w:type="dxa"/>
              <w:end w:w="120" w:type="dxa"/>
            </w:tcMar>
            <w:vAlign w:val="center"/>
          </w:tcPr>
          <w:p>
            <w:pPr>
              <w:spacing w:before="0" w:after="0" w:line="240" w:lineRule="auto"/>
              <w:jc w:val="center"/>
            </w:pPr>
            <w:r>
              <w:rPr>
                <w:rFonts w:ascii="Calibri" w:hAnsi="Calibri"/>
                <w:b/>
                <w:color w:val="18324A"/>
                <w:sz w:val="13"/>
              </w:rPr>
              <w:t>Min. Level</w:t>
            </w:r>
          </w:p>
        </w:tc>
        <w:tc>
          <w:tcPr>
            <w:tcW w:type="dxa" w:w="1180"/>
            <w:shd w:fill="E8EEF5"/>
            <w:tcMar>
              <w:top w:w="80" w:type="dxa"/>
              <w:start w:w="120" w:type="dxa"/>
              <w:bottom w:w="80" w:type="dxa"/>
              <w:end w:w="120" w:type="dxa"/>
            </w:tcMar>
            <w:vAlign w:val="center"/>
          </w:tcPr>
          <w:p>
            <w:pPr>
              <w:spacing w:before="0" w:after="0" w:line="240" w:lineRule="auto"/>
              <w:jc w:val="center"/>
            </w:pPr>
            <w:r>
              <w:rPr>
                <w:rFonts w:ascii="Calibri" w:hAnsi="Calibri"/>
                <w:b/>
                <w:color w:val="18324A"/>
                <w:sz w:val="13"/>
              </w:rPr>
              <w:t>Bonus</w:t>
            </w:r>
          </w:p>
        </w:tc>
        <w:tc>
          <w:tcPr>
            <w:tcW w:type="dxa" w:w="1500"/>
            <w:shd w:fill="E8EEF5"/>
            <w:tcMar>
              <w:top w:w="80" w:type="dxa"/>
              <w:start w:w="120" w:type="dxa"/>
              <w:bottom w:w="80" w:type="dxa"/>
              <w:end w:w="120" w:type="dxa"/>
            </w:tcMar>
            <w:vAlign w:val="center"/>
          </w:tcPr>
          <w:p>
            <w:pPr>
              <w:spacing w:before="0" w:after="0" w:line="240" w:lineRule="auto"/>
              <w:jc w:val="left"/>
            </w:pPr>
            <w:r>
              <w:rPr>
                <w:rFonts w:ascii="Calibri" w:hAnsi="Calibri"/>
                <w:b/>
                <w:color w:val="18324A"/>
                <w:sz w:val="13"/>
              </w:rPr>
              <w:t>Cíl</w:t>
            </w:r>
          </w:p>
        </w:tc>
        <w:tc>
          <w:tcPr>
            <w:tcW w:type="dxa" w:w="1100"/>
            <w:shd w:fill="E8EEF5"/>
            <w:tcMar>
              <w:top w:w="80" w:type="dxa"/>
              <w:start w:w="120" w:type="dxa"/>
              <w:bottom w:w="80" w:type="dxa"/>
              <w:end w:w="120" w:type="dxa"/>
            </w:tcMar>
            <w:vAlign w:val="center"/>
          </w:tcPr>
          <w:p>
            <w:pPr>
              <w:spacing w:before="0" w:after="0" w:line="240" w:lineRule="auto"/>
              <w:jc w:val="center"/>
            </w:pPr>
            <w:r>
              <w:rPr>
                <w:rFonts w:ascii="Calibri" w:hAnsi="Calibri"/>
                <w:b/>
                <w:color w:val="18324A"/>
                <w:sz w:val="13"/>
              </w:rPr>
              <w:t>Trvání</w:t>
            </w:r>
          </w:p>
        </w:tc>
        <w:tc>
          <w:tcPr>
            <w:tcW w:type="dxa" w:w="1700"/>
            <w:shd w:fill="E8EEF5"/>
            <w:tcMar>
              <w:top w:w="80" w:type="dxa"/>
              <w:start w:w="120" w:type="dxa"/>
              <w:bottom w:w="80" w:type="dxa"/>
              <w:end w:w="120" w:type="dxa"/>
            </w:tcMar>
            <w:vAlign w:val="center"/>
          </w:tcPr>
          <w:p>
            <w:pPr>
              <w:spacing w:before="0" w:after="0" w:line="240" w:lineRule="auto"/>
              <w:jc w:val="left"/>
            </w:pPr>
            <w:r>
              <w:rPr>
                <w:rFonts w:ascii="Calibri" w:hAnsi="Calibri"/>
                <w:b/>
                <w:color w:val="18324A"/>
                <w:sz w:val="13"/>
              </w:rPr>
              <w:t>Omezení</w:t>
            </w:r>
          </w:p>
        </w:tc>
        <w:tc>
          <w:tcPr>
            <w:tcW w:type="dxa" w:w="3560"/>
            <w:shd w:fill="E8EEF5"/>
            <w:tcMar>
              <w:top w:w="80" w:type="dxa"/>
              <w:start w:w="120" w:type="dxa"/>
              <w:bottom w:w="80" w:type="dxa"/>
              <w:end w:w="120" w:type="dxa"/>
            </w:tcMar>
            <w:vAlign w:val="center"/>
          </w:tcPr>
          <w:p>
            <w:pPr>
              <w:spacing w:before="0" w:after="0" w:line="240" w:lineRule="auto"/>
              <w:jc w:val="left"/>
            </w:pPr>
            <w:r>
              <w:rPr>
                <w:rFonts w:ascii="Calibri" w:hAnsi="Calibri"/>
                <w:b/>
                <w:color w:val="18324A"/>
                <w:sz w:val="13"/>
              </w:rPr>
              <w:t>Přesný účinek</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Kamenický dotek</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Země</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užitkové</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5</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kámen do velikosti dlaně</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okamžitě</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změna na předmět</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Vytvaruje malý kus nemagického kamene do jednoduchého tvaru. Nevytvoří přesný klíč, zbraň ani drahokam.</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Pevný krok</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Země</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obranné / pohybové</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6</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nezvyšuje FO ani MO</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ochotný tvor na dosah</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2 kola</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za souboj</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Cíl nelze běžným odstrčením srazit ani posunout. Stále se může sám pohybovat a silný příběhový účinek může vyžadovat zkoušku S.</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Zemní hrot</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Země</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útočné</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7</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+2 k MÚ</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cíl stojící na zemi a na dohled</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okamžitě</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nefunguje ve vzduchu ani na palubě bez kamene či půdy</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Přímý zemní útok proti MO cíle.</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Kamenná kůže</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Země</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obranné</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7</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+2 FO</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sesilatel nebo 1 spojenec na dohled</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2 kola</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za souboj; nesčítá se</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Cíl získá +2 FO proti fyzickým útokům.</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Tvarování kamene</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Země</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užitkové</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8</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2</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souvislý nemagický kámen do 1 m³</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10 minut</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za scénu</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Vytvoří jednoduchý otvor, schod, žlábek nebo oporu. Nezboří nosnou stavbu bez příběhového následku.</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Kamenná pouta</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Země</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ovládací</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8</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2</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+1 k MÚ</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cíl stojící na kameni či půdě</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1 kolo</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na stejný cíl za souboj; platí pravidlo hlavního protivníka</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Při úspěchu se běžný cíl nemůže přesunout, ale může jednat na dosah. Hlavní protivník má pouze −2 k příštímu pohybovému testu.</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Kamenné kopí</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Země</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útočné</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9</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3</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+4 k MÚ</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cíl na dohled</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okamžitě</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za souboj</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Silný jednobodový zemní útok proti MO cíle.</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Kamenná zeď</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Země</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obranné / ovládací</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9</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3</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nezvyšuje FO ani MO; zeď má FO 13</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volná linie do 4 m na zemi</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3 kola</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za souboj</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Vytvoří překážku s 12 Ž a FO 13, která blokuje pohyb a výhled. Po skončení se bezpečně rozpadne.</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Otřes země</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Země</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útočné plošné / ovládací</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10</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5</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+2 k MÚ</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nejvýše 3 cíle stojící blízko sebe na zemi</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okamžitě</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za souboj; platí plošné pravidlo</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Jeden hod MÚ se porovná s MO každého cíle. Cíl zraněný alespoň za 1 Ž navíc ztratí svůj příští přesun, nikoli celou akci.</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Pevnost hory</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Země</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obranné</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11</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7</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+4 FO</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ochotný tvor na dosah</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3 kola</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za dobrodružství; nesčítá se</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Cíl získá +4 FO, ale jeho vlastní pohyb je po dobu kouzla poloviční.</w:t>
            </w:r>
          </w:p>
        </w:tc>
      </w:tr>
    </w:tbl>
    <w:p>
      <w:r>
        <w:br w:type="page"/>
      </w:r>
    </w:p>
    <w:p>
      <w:pPr>
        <w:keepNext/>
        <w:spacing w:before="0" w:after="80"/>
      </w:pPr>
      <w:r>
        <w:rPr>
          <w:rFonts w:ascii="Calibri" w:hAnsi="Calibri"/>
          <w:b/>
          <w:color w:val="2E74B5"/>
          <w:sz w:val="25"/>
        </w:rPr>
        <w:t>3.6  Mysl</w:t>
      </w:r>
    </w:p>
    <w:p>
      <w:pPr>
        <w:spacing w:before="0" w:after="100" w:line="252" w:lineRule="auto"/>
      </w:pPr>
      <w:r>
        <w:rPr>
          <w:rFonts w:ascii="Calibri" w:hAnsi="Calibri"/>
          <w:b w:val="0"/>
          <w:color w:val="000000"/>
          <w:sz w:val="17"/>
        </w:rPr>
        <w:t>Telekineze, telepatie, myšlenky, emoce, iluze a mentální ovlivňování. Telekineze patří sem.</w:t>
      </w:r>
    </w:p>
    <w:tbl>
      <w:tblPr>
        <w:tblW w:type="dxa" w:w="14280"/>
        <w:jc w:val="left"/>
        <w:tblLayout w:type="fixed"/>
        <w:tblLook w:firstColumn="1" w:firstRow="1" w:lastColumn="0" w:lastRow="0" w:noHBand="0" w:noVBand="1" w:val="04A0"/>
        <w:tblInd w:w="120" w:type="dxa"/>
        <w:tblBorders>
          <w:top w:val="single" w:sz="4" w:space="0" w:color="AAB7C4"/>
          <w:left w:val="single" w:sz="4" w:space="0" w:color="AAB7C4"/>
          <w:bottom w:val="single" w:sz="4" w:space="0" w:color="AAB7C4"/>
          <w:right w:val="single" w:sz="4" w:space="0" w:color="AAB7C4"/>
          <w:insideH w:val="single" w:sz="4" w:space="0" w:color="AAB7C4"/>
          <w:insideV w:val="single" w:sz="4" w:space="0" w:color="AAB7C4"/>
        </w:tblBorders>
      </w:tblPr>
      <w:tblGrid>
        <w:gridCol w:w="1800"/>
        <w:gridCol w:w="1150"/>
        <w:gridCol w:w="1150"/>
        <w:gridCol w:w="520"/>
        <w:gridCol w:w="620"/>
        <w:gridCol w:w="1180"/>
        <w:gridCol w:w="1500"/>
        <w:gridCol w:w="1100"/>
        <w:gridCol w:w="1700"/>
        <w:gridCol w:w="3560"/>
      </w:tblGrid>
      <w:tr>
        <w:trPr>
          <w:tblHeader w:val="true"/>
          <w:cantSplit/>
        </w:trPr>
        <w:tc>
          <w:tcPr>
            <w:tcW w:type="dxa" w:w="1800"/>
            <w:shd w:fill="E8EEF5"/>
            <w:tcMar>
              <w:top w:w="80" w:type="dxa"/>
              <w:start w:w="120" w:type="dxa"/>
              <w:bottom w:w="80" w:type="dxa"/>
              <w:end w:w="120" w:type="dxa"/>
            </w:tcMar>
            <w:vAlign w:val="center"/>
          </w:tcPr>
          <w:p>
            <w:pPr>
              <w:spacing w:before="0" w:after="0" w:line="240" w:lineRule="auto"/>
              <w:jc w:val="left"/>
            </w:pPr>
            <w:r>
              <w:rPr>
                <w:rFonts w:ascii="Calibri" w:hAnsi="Calibri"/>
                <w:b/>
                <w:color w:val="18324A"/>
                <w:sz w:val="13"/>
              </w:rPr>
              <w:t>Kouzlo</w:t>
            </w:r>
          </w:p>
        </w:tc>
        <w:tc>
          <w:tcPr>
            <w:tcW w:type="dxa" w:w="1150"/>
            <w:shd w:fill="E8EEF5"/>
            <w:tcMar>
              <w:top w:w="80" w:type="dxa"/>
              <w:start w:w="120" w:type="dxa"/>
              <w:bottom w:w="80" w:type="dxa"/>
              <w:end w:w="120" w:type="dxa"/>
            </w:tcMar>
            <w:vAlign w:val="center"/>
          </w:tcPr>
          <w:p>
            <w:pPr>
              <w:spacing w:before="0" w:after="0" w:line="240" w:lineRule="auto"/>
              <w:jc w:val="center"/>
            </w:pPr>
            <w:r>
              <w:rPr>
                <w:rFonts w:ascii="Calibri" w:hAnsi="Calibri"/>
                <w:b/>
                <w:color w:val="18324A"/>
                <w:sz w:val="13"/>
              </w:rPr>
              <w:t>Škola</w:t>
            </w:r>
          </w:p>
        </w:tc>
        <w:tc>
          <w:tcPr>
            <w:tcW w:type="dxa" w:w="1150"/>
            <w:shd w:fill="E8EEF5"/>
            <w:tcMar>
              <w:top w:w="80" w:type="dxa"/>
              <w:start w:w="120" w:type="dxa"/>
              <w:bottom w:w="80" w:type="dxa"/>
              <w:end w:w="120" w:type="dxa"/>
            </w:tcMar>
            <w:vAlign w:val="center"/>
          </w:tcPr>
          <w:p>
            <w:pPr>
              <w:spacing w:before="0" w:after="0" w:line="240" w:lineRule="auto"/>
              <w:jc w:val="center"/>
            </w:pPr>
            <w:r>
              <w:rPr>
                <w:rFonts w:ascii="Calibri" w:hAnsi="Calibri"/>
                <w:b/>
                <w:color w:val="18324A"/>
                <w:sz w:val="13"/>
              </w:rPr>
              <w:t>Typ</w:t>
            </w:r>
          </w:p>
        </w:tc>
        <w:tc>
          <w:tcPr>
            <w:tcW w:type="dxa" w:w="520"/>
            <w:shd w:fill="E8EEF5"/>
            <w:tcMar>
              <w:top w:w="80" w:type="dxa"/>
              <w:start w:w="120" w:type="dxa"/>
              <w:bottom w:w="80" w:type="dxa"/>
              <w:end w:w="120" w:type="dxa"/>
            </w:tcMar>
            <w:vAlign w:val="center"/>
          </w:tcPr>
          <w:p>
            <w:pPr>
              <w:spacing w:before="0" w:after="0" w:line="240" w:lineRule="auto"/>
              <w:jc w:val="center"/>
            </w:pPr>
            <w:r>
              <w:rPr>
                <w:rFonts w:ascii="Calibri" w:hAnsi="Calibri"/>
                <w:b/>
                <w:color w:val="18324A"/>
                <w:sz w:val="13"/>
              </w:rPr>
              <w:t>Min. CH</w:t>
            </w:r>
          </w:p>
        </w:tc>
        <w:tc>
          <w:tcPr>
            <w:tcW w:type="dxa" w:w="620"/>
            <w:shd w:fill="E8EEF5"/>
            <w:tcMar>
              <w:top w:w="80" w:type="dxa"/>
              <w:start w:w="120" w:type="dxa"/>
              <w:bottom w:w="80" w:type="dxa"/>
              <w:end w:w="120" w:type="dxa"/>
            </w:tcMar>
            <w:vAlign w:val="center"/>
          </w:tcPr>
          <w:p>
            <w:pPr>
              <w:spacing w:before="0" w:after="0" w:line="240" w:lineRule="auto"/>
              <w:jc w:val="center"/>
            </w:pPr>
            <w:r>
              <w:rPr>
                <w:rFonts w:ascii="Calibri" w:hAnsi="Calibri"/>
                <w:b/>
                <w:color w:val="18324A"/>
                <w:sz w:val="13"/>
              </w:rPr>
              <w:t>Min. Level</w:t>
            </w:r>
          </w:p>
        </w:tc>
        <w:tc>
          <w:tcPr>
            <w:tcW w:type="dxa" w:w="1180"/>
            <w:shd w:fill="E8EEF5"/>
            <w:tcMar>
              <w:top w:w="80" w:type="dxa"/>
              <w:start w:w="120" w:type="dxa"/>
              <w:bottom w:w="80" w:type="dxa"/>
              <w:end w:w="120" w:type="dxa"/>
            </w:tcMar>
            <w:vAlign w:val="center"/>
          </w:tcPr>
          <w:p>
            <w:pPr>
              <w:spacing w:before="0" w:after="0" w:line="240" w:lineRule="auto"/>
              <w:jc w:val="center"/>
            </w:pPr>
            <w:r>
              <w:rPr>
                <w:rFonts w:ascii="Calibri" w:hAnsi="Calibri"/>
                <w:b/>
                <w:color w:val="18324A"/>
                <w:sz w:val="13"/>
              </w:rPr>
              <w:t>Bonus</w:t>
            </w:r>
          </w:p>
        </w:tc>
        <w:tc>
          <w:tcPr>
            <w:tcW w:type="dxa" w:w="1500"/>
            <w:shd w:fill="E8EEF5"/>
            <w:tcMar>
              <w:top w:w="80" w:type="dxa"/>
              <w:start w:w="120" w:type="dxa"/>
              <w:bottom w:w="80" w:type="dxa"/>
              <w:end w:w="120" w:type="dxa"/>
            </w:tcMar>
            <w:vAlign w:val="center"/>
          </w:tcPr>
          <w:p>
            <w:pPr>
              <w:spacing w:before="0" w:after="0" w:line="240" w:lineRule="auto"/>
              <w:jc w:val="left"/>
            </w:pPr>
            <w:r>
              <w:rPr>
                <w:rFonts w:ascii="Calibri" w:hAnsi="Calibri"/>
                <w:b/>
                <w:color w:val="18324A"/>
                <w:sz w:val="13"/>
              </w:rPr>
              <w:t>Cíl</w:t>
            </w:r>
          </w:p>
        </w:tc>
        <w:tc>
          <w:tcPr>
            <w:tcW w:type="dxa" w:w="1100"/>
            <w:shd w:fill="E8EEF5"/>
            <w:tcMar>
              <w:top w:w="80" w:type="dxa"/>
              <w:start w:w="120" w:type="dxa"/>
              <w:bottom w:w="80" w:type="dxa"/>
              <w:end w:w="120" w:type="dxa"/>
            </w:tcMar>
            <w:vAlign w:val="center"/>
          </w:tcPr>
          <w:p>
            <w:pPr>
              <w:spacing w:before="0" w:after="0" w:line="240" w:lineRule="auto"/>
              <w:jc w:val="center"/>
            </w:pPr>
            <w:r>
              <w:rPr>
                <w:rFonts w:ascii="Calibri" w:hAnsi="Calibri"/>
                <w:b/>
                <w:color w:val="18324A"/>
                <w:sz w:val="13"/>
              </w:rPr>
              <w:t>Trvání</w:t>
            </w:r>
          </w:p>
        </w:tc>
        <w:tc>
          <w:tcPr>
            <w:tcW w:type="dxa" w:w="1700"/>
            <w:shd w:fill="E8EEF5"/>
            <w:tcMar>
              <w:top w:w="80" w:type="dxa"/>
              <w:start w:w="120" w:type="dxa"/>
              <w:bottom w:w="80" w:type="dxa"/>
              <w:end w:w="120" w:type="dxa"/>
            </w:tcMar>
            <w:vAlign w:val="center"/>
          </w:tcPr>
          <w:p>
            <w:pPr>
              <w:spacing w:before="0" w:after="0" w:line="240" w:lineRule="auto"/>
              <w:jc w:val="left"/>
            </w:pPr>
            <w:r>
              <w:rPr>
                <w:rFonts w:ascii="Calibri" w:hAnsi="Calibri"/>
                <w:b/>
                <w:color w:val="18324A"/>
                <w:sz w:val="13"/>
              </w:rPr>
              <w:t>Omezení</w:t>
            </w:r>
          </w:p>
        </w:tc>
        <w:tc>
          <w:tcPr>
            <w:tcW w:type="dxa" w:w="3560"/>
            <w:shd w:fill="E8EEF5"/>
            <w:tcMar>
              <w:top w:w="80" w:type="dxa"/>
              <w:start w:w="120" w:type="dxa"/>
              <w:bottom w:w="80" w:type="dxa"/>
              <w:end w:w="120" w:type="dxa"/>
            </w:tcMar>
            <w:vAlign w:val="center"/>
          </w:tcPr>
          <w:p>
            <w:pPr>
              <w:spacing w:before="0" w:after="0" w:line="240" w:lineRule="auto"/>
              <w:jc w:val="left"/>
            </w:pPr>
            <w:r>
              <w:rPr>
                <w:rFonts w:ascii="Calibri" w:hAnsi="Calibri"/>
                <w:b/>
                <w:color w:val="18324A"/>
                <w:sz w:val="13"/>
              </w:rPr>
              <w:t>Přesný účinek</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Myšlenkový šepot</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Mysl</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užitkové</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6</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ochotný tvor na dohled</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okamžitě</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jedna věta; bez odpovědi</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Pošle cíli jednu krátkou myšlenkovou větu hlasem sesilatele. Nečte myšlenky cíle.</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Telekineze</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Mysl</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užitkové / útočné</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7</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+1 k MÚ při útoku</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předmět do 10 kg a 10 m</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soustředění, nejvýše 3 kola</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nejvýše 1 předmět; útok kouzlo ukončí</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Pohybuje předmětem libovolným směrem. Pokud je vržen na tvora, provede se jeden MÚ s bonusem +1; poté Telekineze končí.</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Uklidnění</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Mysl</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ovládací</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7</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+0 k MÚ</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tvor na dohled</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do konce příštího tahu cíle</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na stejný cíl za scénu; platí pravidlo hlavního protivníka</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Při úspěchu běžný cíl nezaútočí, dokud není napaden; může mluvit, krýt se nebo ustoupit. Hlavní protivník má místo toho −2 k příštímu útoku.</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Drobná iluze</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Mysl</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ovládací / užitkové</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7</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+0 k MÚ při prohlédnutí</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obraz nebo zvuk v prostoru do 2 m</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3 kola</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aktivní; bez fyzického účinku</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Vytvoří nehmotný obraz nebo zvuk. Kdo s ním přímo pracuje, porovná svou MO s MÚ sesilatele; při úspěšné obraně iluzi prohlédne.</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Mentální štít</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Mysl</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obranné</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7</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+3 MO</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sesilatel nebo 1 spojenec na dohled</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3 kola</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za souboj; pouze proti Mysli; nesčítá se</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Cíl získá +3 MO proti kouzlům školy Mysli.</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Telepatie</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Mysl</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užitkové</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8</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2</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ochotný známý tvor do 100 m</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10 minut</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spojení; cíl musí být na začátku na dohled</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Umožní obousměrný přenos krátkých vět a jednoduchých obrazů. Nečte neodeslané myšlenky.</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Zmatení</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Mysl</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ovládací</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8</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2</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+1 k MÚ</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tvor na dohled</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1 kolo</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na stejný cíl za souboj</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Při úspěchu cíl nemůže použít zvláštní schopnost a má −2 k příštímu útoku. Neztrácí celý tah.</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Uspání</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Mysl</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ovládací</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9</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3</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+1 k MÚ</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tvor na dohled</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nejvýše 2 kola</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na stejný cíl za souboj; platí pravidlo hlavního protivníka</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Běžný cíl při úspěchu usne a probudí se při zranění nebo silném zatřesení. Hlavní protivník neusne; do konce příštího tahu má −2 k prvnímu výsledku FÚ, MÚ nebo zkoušky a v této akci nemůže použít zvláštní schopnost.</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Okouzlení</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Mysl</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ovládací</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9</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3</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+1 k MÚ</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tvor na dohled</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1 scéna</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na stejný cíl za dobrodružství</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Při úspěchu považuje běžný cíl sesilatele za přátelského. Neudělá nic zjevně nebezpečného ani proti svým zásadám; útok kouzlo ukončí. Hlavní protivník pouze na 1 kolo přeruší útok na sesilatele.</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Čtení myšlenek</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Mysl</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ovládací / užitkové</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10</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5</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+0 k MÚ</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tvor na dohled</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soustředění, nejvýše 3 kola</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na stejný cíl za scénu</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Při úspěchu odhalí jednu povrchovou myšlenku nebo bezprostřední záměr za kolo. U hlavního protivníka jen jednu emoci nebo aktuální cíl.</w:t>
            </w:r>
          </w:p>
        </w:tc>
      </w:tr>
    </w:tbl>
    <w:p>
      <w:r>
        <w:br w:type="page"/>
      </w:r>
    </w:p>
    <w:p>
      <w:pPr>
        <w:keepNext/>
        <w:spacing w:before="0" w:after="80"/>
      </w:pPr>
      <w:r>
        <w:rPr>
          <w:rFonts w:ascii="Calibri" w:hAnsi="Calibri"/>
          <w:b/>
          <w:color w:val="2E74B5"/>
          <w:sz w:val="25"/>
        </w:rPr>
        <w:t>3.7  Duch</w:t>
      </w:r>
    </w:p>
    <w:p>
      <w:pPr>
        <w:spacing w:before="0" w:after="100" w:line="252" w:lineRule="auto"/>
      </w:pPr>
      <w:r>
        <w:rPr>
          <w:rFonts w:ascii="Calibri" w:hAnsi="Calibri"/>
          <w:b w:val="0"/>
          <w:color w:val="000000"/>
          <w:sz w:val="17"/>
        </w:rPr>
        <w:t>Duše, duchové, životní síla, požehnání, ochrana duše a komunikace s duchy.</w:t>
      </w:r>
    </w:p>
    <w:tbl>
      <w:tblPr>
        <w:tblW w:type="dxa" w:w="14280"/>
        <w:jc w:val="left"/>
        <w:tblLayout w:type="fixed"/>
        <w:tblLook w:firstColumn="1" w:firstRow="1" w:lastColumn="0" w:lastRow="0" w:noHBand="0" w:noVBand="1" w:val="04A0"/>
        <w:tblInd w:w="120" w:type="dxa"/>
        <w:tblBorders>
          <w:top w:val="single" w:sz="4" w:space="0" w:color="AAB7C4"/>
          <w:left w:val="single" w:sz="4" w:space="0" w:color="AAB7C4"/>
          <w:bottom w:val="single" w:sz="4" w:space="0" w:color="AAB7C4"/>
          <w:right w:val="single" w:sz="4" w:space="0" w:color="AAB7C4"/>
          <w:insideH w:val="single" w:sz="4" w:space="0" w:color="AAB7C4"/>
          <w:insideV w:val="single" w:sz="4" w:space="0" w:color="AAB7C4"/>
        </w:tblBorders>
      </w:tblPr>
      <w:tblGrid>
        <w:gridCol w:w="1800"/>
        <w:gridCol w:w="1150"/>
        <w:gridCol w:w="1150"/>
        <w:gridCol w:w="520"/>
        <w:gridCol w:w="620"/>
        <w:gridCol w:w="1180"/>
        <w:gridCol w:w="1500"/>
        <w:gridCol w:w="1100"/>
        <w:gridCol w:w="1700"/>
        <w:gridCol w:w="3560"/>
      </w:tblGrid>
      <w:tr>
        <w:trPr>
          <w:tblHeader w:val="true"/>
          <w:cantSplit/>
        </w:trPr>
        <w:tc>
          <w:tcPr>
            <w:tcW w:type="dxa" w:w="1800"/>
            <w:shd w:fill="E8EEF5"/>
            <w:tcMar>
              <w:top w:w="80" w:type="dxa"/>
              <w:start w:w="120" w:type="dxa"/>
              <w:bottom w:w="80" w:type="dxa"/>
              <w:end w:w="120" w:type="dxa"/>
            </w:tcMar>
            <w:vAlign w:val="center"/>
          </w:tcPr>
          <w:p>
            <w:pPr>
              <w:spacing w:before="0" w:after="0" w:line="240" w:lineRule="auto"/>
              <w:jc w:val="left"/>
            </w:pPr>
            <w:r>
              <w:rPr>
                <w:rFonts w:ascii="Calibri" w:hAnsi="Calibri"/>
                <w:b/>
                <w:color w:val="18324A"/>
                <w:sz w:val="13"/>
              </w:rPr>
              <w:t>Kouzlo</w:t>
            </w:r>
          </w:p>
        </w:tc>
        <w:tc>
          <w:tcPr>
            <w:tcW w:type="dxa" w:w="1150"/>
            <w:shd w:fill="E8EEF5"/>
            <w:tcMar>
              <w:top w:w="80" w:type="dxa"/>
              <w:start w:w="120" w:type="dxa"/>
              <w:bottom w:w="80" w:type="dxa"/>
              <w:end w:w="120" w:type="dxa"/>
            </w:tcMar>
            <w:vAlign w:val="center"/>
          </w:tcPr>
          <w:p>
            <w:pPr>
              <w:spacing w:before="0" w:after="0" w:line="240" w:lineRule="auto"/>
              <w:jc w:val="center"/>
            </w:pPr>
            <w:r>
              <w:rPr>
                <w:rFonts w:ascii="Calibri" w:hAnsi="Calibri"/>
                <w:b/>
                <w:color w:val="18324A"/>
                <w:sz w:val="13"/>
              </w:rPr>
              <w:t>Škola</w:t>
            </w:r>
          </w:p>
        </w:tc>
        <w:tc>
          <w:tcPr>
            <w:tcW w:type="dxa" w:w="1150"/>
            <w:shd w:fill="E8EEF5"/>
            <w:tcMar>
              <w:top w:w="80" w:type="dxa"/>
              <w:start w:w="120" w:type="dxa"/>
              <w:bottom w:w="80" w:type="dxa"/>
              <w:end w:w="120" w:type="dxa"/>
            </w:tcMar>
            <w:vAlign w:val="center"/>
          </w:tcPr>
          <w:p>
            <w:pPr>
              <w:spacing w:before="0" w:after="0" w:line="240" w:lineRule="auto"/>
              <w:jc w:val="center"/>
            </w:pPr>
            <w:r>
              <w:rPr>
                <w:rFonts w:ascii="Calibri" w:hAnsi="Calibri"/>
                <w:b/>
                <w:color w:val="18324A"/>
                <w:sz w:val="13"/>
              </w:rPr>
              <w:t>Typ</w:t>
            </w:r>
          </w:p>
        </w:tc>
        <w:tc>
          <w:tcPr>
            <w:tcW w:type="dxa" w:w="520"/>
            <w:shd w:fill="E8EEF5"/>
            <w:tcMar>
              <w:top w:w="80" w:type="dxa"/>
              <w:start w:w="120" w:type="dxa"/>
              <w:bottom w:w="80" w:type="dxa"/>
              <w:end w:w="120" w:type="dxa"/>
            </w:tcMar>
            <w:vAlign w:val="center"/>
          </w:tcPr>
          <w:p>
            <w:pPr>
              <w:spacing w:before="0" w:after="0" w:line="240" w:lineRule="auto"/>
              <w:jc w:val="center"/>
            </w:pPr>
            <w:r>
              <w:rPr>
                <w:rFonts w:ascii="Calibri" w:hAnsi="Calibri"/>
                <w:b/>
                <w:color w:val="18324A"/>
                <w:sz w:val="13"/>
              </w:rPr>
              <w:t>Min. CH</w:t>
            </w:r>
          </w:p>
        </w:tc>
        <w:tc>
          <w:tcPr>
            <w:tcW w:type="dxa" w:w="620"/>
            <w:shd w:fill="E8EEF5"/>
            <w:tcMar>
              <w:top w:w="80" w:type="dxa"/>
              <w:start w:w="120" w:type="dxa"/>
              <w:bottom w:w="80" w:type="dxa"/>
              <w:end w:w="120" w:type="dxa"/>
            </w:tcMar>
            <w:vAlign w:val="center"/>
          </w:tcPr>
          <w:p>
            <w:pPr>
              <w:spacing w:before="0" w:after="0" w:line="240" w:lineRule="auto"/>
              <w:jc w:val="center"/>
            </w:pPr>
            <w:r>
              <w:rPr>
                <w:rFonts w:ascii="Calibri" w:hAnsi="Calibri"/>
                <w:b/>
                <w:color w:val="18324A"/>
                <w:sz w:val="13"/>
              </w:rPr>
              <w:t>Min. Level</w:t>
            </w:r>
          </w:p>
        </w:tc>
        <w:tc>
          <w:tcPr>
            <w:tcW w:type="dxa" w:w="1180"/>
            <w:shd w:fill="E8EEF5"/>
            <w:tcMar>
              <w:top w:w="80" w:type="dxa"/>
              <w:start w:w="120" w:type="dxa"/>
              <w:bottom w:w="80" w:type="dxa"/>
              <w:end w:w="120" w:type="dxa"/>
            </w:tcMar>
            <w:vAlign w:val="center"/>
          </w:tcPr>
          <w:p>
            <w:pPr>
              <w:spacing w:before="0" w:after="0" w:line="240" w:lineRule="auto"/>
              <w:jc w:val="center"/>
            </w:pPr>
            <w:r>
              <w:rPr>
                <w:rFonts w:ascii="Calibri" w:hAnsi="Calibri"/>
                <w:b/>
                <w:color w:val="18324A"/>
                <w:sz w:val="13"/>
              </w:rPr>
              <w:t>Bonus</w:t>
            </w:r>
          </w:p>
        </w:tc>
        <w:tc>
          <w:tcPr>
            <w:tcW w:type="dxa" w:w="1500"/>
            <w:shd w:fill="E8EEF5"/>
            <w:tcMar>
              <w:top w:w="80" w:type="dxa"/>
              <w:start w:w="120" w:type="dxa"/>
              <w:bottom w:w="80" w:type="dxa"/>
              <w:end w:w="120" w:type="dxa"/>
            </w:tcMar>
            <w:vAlign w:val="center"/>
          </w:tcPr>
          <w:p>
            <w:pPr>
              <w:spacing w:before="0" w:after="0" w:line="240" w:lineRule="auto"/>
              <w:jc w:val="left"/>
            </w:pPr>
            <w:r>
              <w:rPr>
                <w:rFonts w:ascii="Calibri" w:hAnsi="Calibri"/>
                <w:b/>
                <w:color w:val="18324A"/>
                <w:sz w:val="13"/>
              </w:rPr>
              <w:t>Cíl</w:t>
            </w:r>
          </w:p>
        </w:tc>
        <w:tc>
          <w:tcPr>
            <w:tcW w:type="dxa" w:w="1100"/>
            <w:shd w:fill="E8EEF5"/>
            <w:tcMar>
              <w:top w:w="80" w:type="dxa"/>
              <w:start w:w="120" w:type="dxa"/>
              <w:bottom w:w="80" w:type="dxa"/>
              <w:end w:w="120" w:type="dxa"/>
            </w:tcMar>
            <w:vAlign w:val="center"/>
          </w:tcPr>
          <w:p>
            <w:pPr>
              <w:spacing w:before="0" w:after="0" w:line="240" w:lineRule="auto"/>
              <w:jc w:val="center"/>
            </w:pPr>
            <w:r>
              <w:rPr>
                <w:rFonts w:ascii="Calibri" w:hAnsi="Calibri"/>
                <w:b/>
                <w:color w:val="18324A"/>
                <w:sz w:val="13"/>
              </w:rPr>
              <w:t>Trvání</w:t>
            </w:r>
          </w:p>
        </w:tc>
        <w:tc>
          <w:tcPr>
            <w:tcW w:type="dxa" w:w="1700"/>
            <w:shd w:fill="E8EEF5"/>
            <w:tcMar>
              <w:top w:w="80" w:type="dxa"/>
              <w:start w:w="120" w:type="dxa"/>
              <w:bottom w:w="80" w:type="dxa"/>
              <w:end w:w="120" w:type="dxa"/>
            </w:tcMar>
            <w:vAlign w:val="center"/>
          </w:tcPr>
          <w:p>
            <w:pPr>
              <w:spacing w:before="0" w:after="0" w:line="240" w:lineRule="auto"/>
              <w:jc w:val="left"/>
            </w:pPr>
            <w:r>
              <w:rPr>
                <w:rFonts w:ascii="Calibri" w:hAnsi="Calibri"/>
                <w:b/>
                <w:color w:val="18324A"/>
                <w:sz w:val="13"/>
              </w:rPr>
              <w:t>Omezení</w:t>
            </w:r>
          </w:p>
        </w:tc>
        <w:tc>
          <w:tcPr>
            <w:tcW w:type="dxa" w:w="3560"/>
            <w:shd w:fill="E8EEF5"/>
            <w:tcMar>
              <w:top w:w="80" w:type="dxa"/>
              <w:start w:w="120" w:type="dxa"/>
              <w:bottom w:w="80" w:type="dxa"/>
              <w:end w:w="120" w:type="dxa"/>
            </w:tcMar>
            <w:vAlign w:val="center"/>
          </w:tcPr>
          <w:p>
            <w:pPr>
              <w:spacing w:before="0" w:after="0" w:line="240" w:lineRule="auto"/>
              <w:jc w:val="left"/>
            </w:pPr>
            <w:r>
              <w:rPr>
                <w:rFonts w:ascii="Calibri" w:hAnsi="Calibri"/>
                <w:b/>
                <w:color w:val="18324A"/>
                <w:sz w:val="13"/>
              </w:rPr>
              <w:t>Přesný účinek</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Vidění duchů</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Duch</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užitkové</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6</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sesilatel</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1 scéna</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za scénu</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Sesilatel vidí přítomné duchy a stopy duchovní energie. Neumožňuje jim automaticky rozumět ani je ovládat.</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Požehnání</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Duch</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podpůrné</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6</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+1 k jedné zkoušce</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spojenec na dosah</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do použití, nejdéle 1 scéna</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na stejný cíl za scénu; bonus se nesčítá</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Cíl získá +1 k jedné zvolené zkoušce. Použití musí oznámit před vyhodnocením.</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Ochrana duše</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Duch</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obranné</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7</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+3 MO</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sesilatel nebo 1 spojenec na dohled</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3 kola</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za souboj; pouze proti Duchu a Temné magii; nesčítá se</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Cíl získá +3 MO proti kouzlům škol Duch a Temná magie.</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Rozhovor s duchem</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Duch</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užitkové</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7</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přítomný duch</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nejvýše 3 otázky</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na stejného ducha za scénu</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Dovolí položit tři krátké otázky. Duch odpovídá podle svých znalostí, vzpomínek a ochoty; kouzlo ho nenutí lhát ani mluvit.</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Obnova odvahy</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Duch</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léčivé / očistné</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7</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spojenec na dosah</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okamžitě</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na stejný cíl za souboj</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Ukončí jeden účinek Strachu nebo jeden běžný mentální postih. Neobnovuje Životy.</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Duchovní paprsek</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Duch</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útočné</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8</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2</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+3 k MÚ</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duch nebo nemrtvý na dohled</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okamžitě</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nelze cílit na běžného živého tvora</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Magický útok proti MO ducha nebo nemrtvého.</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Strážný duch</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Duch</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obranné</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8</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2</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+2 FO a MO</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spojenec na dohled</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2 kola</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za souboj; nesčítá se</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Cíl získá +2 FO i MO.</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Rada předků</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Duch</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užitkové</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9</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3</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družina</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okamžitě</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za dobrodružství</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AI poskytne jednu pravdivou a užitečnou stopu k právě řešenému problému. Neprozradí celé řešení ani jistou budoucnost.</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Klid duší</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Duch</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ovládací plošné</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9</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3</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+2 k MÚ</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nejvýše 3 duchové nebo nemrtví blízko sebe</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1 kolo</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za souboj; platí plošné i boss pravidlo</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Jeden hod MÚ se porovná s MO každého cíle. Běžný úspěšně zasažený cíl nemůže zaútočit; hlavní protivník má −2 k útoku a bez zvláštní schopnosti.</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Záchrana duše</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Duch</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obranné</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11</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7</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nezvyšuje FO ani MO</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spojenec na dohled, který by právě klesl na 0 Ž</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okamžitá reakce</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za dobrodružství</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Místo pádu na 0 Ž zůstane cíl na 1 Ž. Nejde o léčení a nelze použít na cíl, který už na 0 Ž byl.</w:t>
            </w:r>
          </w:p>
        </w:tc>
      </w:tr>
    </w:tbl>
    <w:p>
      <w:r>
        <w:br w:type="page"/>
      </w:r>
    </w:p>
    <w:p>
      <w:pPr>
        <w:keepNext/>
        <w:spacing w:before="0" w:after="80"/>
      </w:pPr>
      <w:r>
        <w:rPr>
          <w:rFonts w:ascii="Calibri" w:hAnsi="Calibri"/>
          <w:b/>
          <w:color w:val="2E74B5"/>
          <w:sz w:val="25"/>
        </w:rPr>
        <w:t>3.8  Světlá magie</w:t>
      </w:r>
    </w:p>
    <w:p>
      <w:pPr>
        <w:spacing w:before="0" w:after="100" w:line="252" w:lineRule="auto"/>
      </w:pPr>
      <w:r>
        <w:rPr>
          <w:rFonts w:ascii="Calibri" w:hAnsi="Calibri"/>
          <w:b w:val="0"/>
          <w:color w:val="000000"/>
          <w:sz w:val="17"/>
        </w:rPr>
        <w:t>Léčení, očista, ochrana a světelné útoky. Léčivá kouzla používají koeficient léčení.</w:t>
      </w:r>
    </w:p>
    <w:tbl>
      <w:tblPr>
        <w:tblW w:type="dxa" w:w="14280"/>
        <w:jc w:val="left"/>
        <w:tblLayout w:type="fixed"/>
        <w:tblLook w:firstColumn="1" w:firstRow="1" w:lastColumn="0" w:lastRow="0" w:noHBand="0" w:noVBand="1" w:val="04A0"/>
        <w:tblInd w:w="120" w:type="dxa"/>
        <w:tblBorders>
          <w:top w:val="single" w:sz="4" w:space="0" w:color="AAB7C4"/>
          <w:left w:val="single" w:sz="4" w:space="0" w:color="AAB7C4"/>
          <w:bottom w:val="single" w:sz="4" w:space="0" w:color="AAB7C4"/>
          <w:right w:val="single" w:sz="4" w:space="0" w:color="AAB7C4"/>
          <w:insideH w:val="single" w:sz="4" w:space="0" w:color="AAB7C4"/>
          <w:insideV w:val="single" w:sz="4" w:space="0" w:color="AAB7C4"/>
        </w:tblBorders>
      </w:tblPr>
      <w:tblGrid>
        <w:gridCol w:w="1800"/>
        <w:gridCol w:w="1150"/>
        <w:gridCol w:w="1150"/>
        <w:gridCol w:w="520"/>
        <w:gridCol w:w="620"/>
        <w:gridCol w:w="1180"/>
        <w:gridCol w:w="1500"/>
        <w:gridCol w:w="1100"/>
        <w:gridCol w:w="1700"/>
        <w:gridCol w:w="3560"/>
      </w:tblGrid>
      <w:tr>
        <w:trPr>
          <w:tblHeader w:val="true"/>
          <w:cantSplit/>
        </w:trPr>
        <w:tc>
          <w:tcPr>
            <w:tcW w:type="dxa" w:w="1800"/>
            <w:shd w:fill="E8EEF5"/>
            <w:tcMar>
              <w:top w:w="80" w:type="dxa"/>
              <w:start w:w="120" w:type="dxa"/>
              <w:bottom w:w="80" w:type="dxa"/>
              <w:end w:w="120" w:type="dxa"/>
            </w:tcMar>
            <w:vAlign w:val="center"/>
          </w:tcPr>
          <w:p>
            <w:pPr>
              <w:spacing w:before="0" w:after="0" w:line="240" w:lineRule="auto"/>
              <w:jc w:val="left"/>
            </w:pPr>
            <w:r>
              <w:rPr>
                <w:rFonts w:ascii="Calibri" w:hAnsi="Calibri"/>
                <w:b/>
                <w:color w:val="18324A"/>
                <w:sz w:val="13"/>
              </w:rPr>
              <w:t>Kouzlo</w:t>
            </w:r>
          </w:p>
        </w:tc>
        <w:tc>
          <w:tcPr>
            <w:tcW w:type="dxa" w:w="1150"/>
            <w:shd w:fill="E8EEF5"/>
            <w:tcMar>
              <w:top w:w="80" w:type="dxa"/>
              <w:start w:w="120" w:type="dxa"/>
              <w:bottom w:w="80" w:type="dxa"/>
              <w:end w:w="120" w:type="dxa"/>
            </w:tcMar>
            <w:vAlign w:val="center"/>
          </w:tcPr>
          <w:p>
            <w:pPr>
              <w:spacing w:before="0" w:after="0" w:line="240" w:lineRule="auto"/>
              <w:jc w:val="center"/>
            </w:pPr>
            <w:r>
              <w:rPr>
                <w:rFonts w:ascii="Calibri" w:hAnsi="Calibri"/>
                <w:b/>
                <w:color w:val="18324A"/>
                <w:sz w:val="13"/>
              </w:rPr>
              <w:t>Škola</w:t>
            </w:r>
          </w:p>
        </w:tc>
        <w:tc>
          <w:tcPr>
            <w:tcW w:type="dxa" w:w="1150"/>
            <w:shd w:fill="E8EEF5"/>
            <w:tcMar>
              <w:top w:w="80" w:type="dxa"/>
              <w:start w:w="120" w:type="dxa"/>
              <w:bottom w:w="80" w:type="dxa"/>
              <w:end w:w="120" w:type="dxa"/>
            </w:tcMar>
            <w:vAlign w:val="center"/>
          </w:tcPr>
          <w:p>
            <w:pPr>
              <w:spacing w:before="0" w:after="0" w:line="240" w:lineRule="auto"/>
              <w:jc w:val="center"/>
            </w:pPr>
            <w:r>
              <w:rPr>
                <w:rFonts w:ascii="Calibri" w:hAnsi="Calibri"/>
                <w:b/>
                <w:color w:val="18324A"/>
                <w:sz w:val="13"/>
              </w:rPr>
              <w:t>Typ</w:t>
            </w:r>
          </w:p>
        </w:tc>
        <w:tc>
          <w:tcPr>
            <w:tcW w:type="dxa" w:w="520"/>
            <w:shd w:fill="E8EEF5"/>
            <w:tcMar>
              <w:top w:w="80" w:type="dxa"/>
              <w:start w:w="120" w:type="dxa"/>
              <w:bottom w:w="80" w:type="dxa"/>
              <w:end w:w="120" w:type="dxa"/>
            </w:tcMar>
            <w:vAlign w:val="center"/>
          </w:tcPr>
          <w:p>
            <w:pPr>
              <w:spacing w:before="0" w:after="0" w:line="240" w:lineRule="auto"/>
              <w:jc w:val="center"/>
            </w:pPr>
            <w:r>
              <w:rPr>
                <w:rFonts w:ascii="Calibri" w:hAnsi="Calibri"/>
                <w:b/>
                <w:color w:val="18324A"/>
                <w:sz w:val="13"/>
              </w:rPr>
              <w:t>Min. CH</w:t>
            </w:r>
          </w:p>
        </w:tc>
        <w:tc>
          <w:tcPr>
            <w:tcW w:type="dxa" w:w="620"/>
            <w:shd w:fill="E8EEF5"/>
            <w:tcMar>
              <w:top w:w="80" w:type="dxa"/>
              <w:start w:w="120" w:type="dxa"/>
              <w:bottom w:w="80" w:type="dxa"/>
              <w:end w:w="120" w:type="dxa"/>
            </w:tcMar>
            <w:vAlign w:val="center"/>
          </w:tcPr>
          <w:p>
            <w:pPr>
              <w:spacing w:before="0" w:after="0" w:line="240" w:lineRule="auto"/>
              <w:jc w:val="center"/>
            </w:pPr>
            <w:r>
              <w:rPr>
                <w:rFonts w:ascii="Calibri" w:hAnsi="Calibri"/>
                <w:b/>
                <w:color w:val="18324A"/>
                <w:sz w:val="13"/>
              </w:rPr>
              <w:t>Min. Level</w:t>
            </w:r>
          </w:p>
        </w:tc>
        <w:tc>
          <w:tcPr>
            <w:tcW w:type="dxa" w:w="1180"/>
            <w:shd w:fill="E8EEF5"/>
            <w:tcMar>
              <w:top w:w="80" w:type="dxa"/>
              <w:start w:w="120" w:type="dxa"/>
              <w:bottom w:w="80" w:type="dxa"/>
              <w:end w:w="120" w:type="dxa"/>
            </w:tcMar>
            <w:vAlign w:val="center"/>
          </w:tcPr>
          <w:p>
            <w:pPr>
              <w:spacing w:before="0" w:after="0" w:line="240" w:lineRule="auto"/>
              <w:jc w:val="center"/>
            </w:pPr>
            <w:r>
              <w:rPr>
                <w:rFonts w:ascii="Calibri" w:hAnsi="Calibri"/>
                <w:b/>
                <w:color w:val="18324A"/>
                <w:sz w:val="13"/>
              </w:rPr>
              <w:t>Bonus</w:t>
            </w:r>
          </w:p>
        </w:tc>
        <w:tc>
          <w:tcPr>
            <w:tcW w:type="dxa" w:w="1500"/>
            <w:shd w:fill="E8EEF5"/>
            <w:tcMar>
              <w:top w:w="80" w:type="dxa"/>
              <w:start w:w="120" w:type="dxa"/>
              <w:bottom w:w="80" w:type="dxa"/>
              <w:end w:w="120" w:type="dxa"/>
            </w:tcMar>
            <w:vAlign w:val="center"/>
          </w:tcPr>
          <w:p>
            <w:pPr>
              <w:spacing w:before="0" w:after="0" w:line="240" w:lineRule="auto"/>
              <w:jc w:val="left"/>
            </w:pPr>
            <w:r>
              <w:rPr>
                <w:rFonts w:ascii="Calibri" w:hAnsi="Calibri"/>
                <w:b/>
                <w:color w:val="18324A"/>
                <w:sz w:val="13"/>
              </w:rPr>
              <w:t>Cíl</w:t>
            </w:r>
          </w:p>
        </w:tc>
        <w:tc>
          <w:tcPr>
            <w:tcW w:type="dxa" w:w="1100"/>
            <w:shd w:fill="E8EEF5"/>
            <w:tcMar>
              <w:top w:w="80" w:type="dxa"/>
              <w:start w:w="120" w:type="dxa"/>
              <w:bottom w:w="80" w:type="dxa"/>
              <w:end w:w="120" w:type="dxa"/>
            </w:tcMar>
            <w:vAlign w:val="center"/>
          </w:tcPr>
          <w:p>
            <w:pPr>
              <w:spacing w:before="0" w:after="0" w:line="240" w:lineRule="auto"/>
              <w:jc w:val="center"/>
            </w:pPr>
            <w:r>
              <w:rPr>
                <w:rFonts w:ascii="Calibri" w:hAnsi="Calibri"/>
                <w:b/>
                <w:color w:val="18324A"/>
                <w:sz w:val="13"/>
              </w:rPr>
              <w:t>Trvání</w:t>
            </w:r>
          </w:p>
        </w:tc>
        <w:tc>
          <w:tcPr>
            <w:tcW w:type="dxa" w:w="1700"/>
            <w:shd w:fill="E8EEF5"/>
            <w:tcMar>
              <w:top w:w="80" w:type="dxa"/>
              <w:start w:w="120" w:type="dxa"/>
              <w:bottom w:w="80" w:type="dxa"/>
              <w:end w:w="120" w:type="dxa"/>
            </w:tcMar>
            <w:vAlign w:val="center"/>
          </w:tcPr>
          <w:p>
            <w:pPr>
              <w:spacing w:before="0" w:after="0" w:line="240" w:lineRule="auto"/>
              <w:jc w:val="left"/>
            </w:pPr>
            <w:r>
              <w:rPr>
                <w:rFonts w:ascii="Calibri" w:hAnsi="Calibri"/>
                <w:b/>
                <w:color w:val="18324A"/>
                <w:sz w:val="13"/>
              </w:rPr>
              <w:t>Omezení</w:t>
            </w:r>
          </w:p>
        </w:tc>
        <w:tc>
          <w:tcPr>
            <w:tcW w:type="dxa" w:w="3560"/>
            <w:shd w:fill="E8EEF5"/>
            <w:tcMar>
              <w:top w:w="80" w:type="dxa"/>
              <w:start w:w="120" w:type="dxa"/>
              <w:bottom w:w="80" w:type="dxa"/>
              <w:end w:w="120" w:type="dxa"/>
            </w:tcMar>
            <w:vAlign w:val="center"/>
          </w:tcPr>
          <w:p>
            <w:pPr>
              <w:spacing w:before="0" w:after="0" w:line="240" w:lineRule="auto"/>
              <w:jc w:val="left"/>
            </w:pPr>
            <w:r>
              <w:rPr>
                <w:rFonts w:ascii="Calibri" w:hAnsi="Calibri"/>
                <w:b/>
                <w:color w:val="18324A"/>
                <w:sz w:val="13"/>
              </w:rPr>
              <w:t>Přesný účinek</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Léčení</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Světlá magie</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léčivé</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6</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základ 4 Ž před koeficientem léčení</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sesilatel nebo 1 spojenec na dosah</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okamžitě</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sdílený limit: 1 kouzlo obnovující Ž za souboj na sesilatele</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Obnoví počet Ž podle koeficientu léčení, nejvýše do maxima cíle.</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Očista</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Světlá magie</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léčivé / očistné</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6</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tvor nebo předmět na dosah</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okamžitě</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na stejný cíl za scénu</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Ukončí jeden běžný jed, nemoc nebo slabý temný účinek. Silná kletba vyžaduje Zlomení kletby.</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Světelný paprsek</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Světlá magie</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útočné</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7</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+2 k MÚ</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cíl na dohled</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okamžitě</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Přímý světelný útok proti MO cíle.</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Zářivý štít</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Světlá magie</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obranné</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7</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+2 MO</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sesilatel nebo 1 spojenec na dohled</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2 kola</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za souboj; nesčítá se</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Cíl získá +2 MO proti všem magickým útokům.</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Slepivé světlo</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Světlá magie</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ovládací plošné</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8</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2</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+1 k MÚ</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nejvýše 3 cíle blízko sebe</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1 kolo</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za souboj; platí plošné pravidlo</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Jeden hod MÚ se porovná s MO každého cíle. Úspěšně zasažený cíl má −2 k příštímu útoku a nemůže použít schopnost založenou na zraku.</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Hojivé světlo</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Světlá magie</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léčivé</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8</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2</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základ 6 Ž před koeficientem léčení</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sesilatel nebo 1 spojenec na dohled</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okamžitě</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sdílený limit: 1 kouzlo obnovující Ž za souboj na sesilatele</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Obnoví počet Ž podle koeficientu léčení, nejvýše do maxima cíle.</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Ochranná aura</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Světlá magie</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obranné plošné</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9</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3</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+2 FO a MO</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sesilatel a nejvýše 2 blízcí spojenci</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2 kola</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za dobrodružství; nesčítá se</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Každý z nejvýše 3 cílů získá +2 FO i MO.</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Zlomení kletby</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Světlá magie</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očistné</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10</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5</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prokletý tvor nebo předmět na dosah</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rituál 1 minuta</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pokus na stejnou kletbu za dobrodružství</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Proveď zkoušku CH proti 11 u silné nebo 13 u mistrovské kletby. Úspěch kletbu ukončí; neúspěch ji nezhorší.</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Hromadné léčení</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Světlá magie</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léčivé plošné</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10</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5</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základ 6 Ž každému před koeficientem léčení</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nejvýše 3 spojenci blízko sebe</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okamžitě</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za dobrodružství; zároveň spotřebuje sdílený limit léčení pro tento souboj</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Každému cíli zvlášť obnoví počet Ž podle koeficientu léčení, nejvýše do jeho maxima.</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Velké léčení</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Světlá magie</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léčivé</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11</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7</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základ 10 Ž před koeficientem léčení</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sesilatel nebo 1 spojenec na dosah</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okamžitě</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za dobrodružství; zároveň spotřebuje sdílený limit léčení pro tento souboj</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Obnoví počet Ž podle koeficientu léčení, nejvýše do maxima cíle.</w:t>
            </w:r>
          </w:p>
        </w:tc>
      </w:tr>
    </w:tbl>
    <w:p>
      <w:r>
        <w:br w:type="page"/>
      </w:r>
    </w:p>
    <w:p>
      <w:pPr>
        <w:keepNext/>
        <w:spacing w:before="0" w:after="80"/>
      </w:pPr>
      <w:r>
        <w:rPr>
          <w:rFonts w:ascii="Calibri" w:hAnsi="Calibri"/>
          <w:b/>
          <w:color w:val="2E74B5"/>
          <w:sz w:val="25"/>
        </w:rPr>
        <w:t>3.9  Temná magie</w:t>
      </w:r>
    </w:p>
    <w:p>
      <w:pPr>
        <w:spacing w:before="0" w:after="100" w:line="252" w:lineRule="auto"/>
      </w:pPr>
      <w:r>
        <w:rPr>
          <w:rFonts w:ascii="Calibri" w:hAnsi="Calibri"/>
          <w:b w:val="0"/>
          <w:color w:val="000000"/>
          <w:sz w:val="17"/>
        </w:rPr>
        <w:t>Strach, kletby, stíny, vysávání životní síly, oslabování a nekromancie. Sama o sobě není automaticky zlá.</w:t>
      </w:r>
    </w:p>
    <w:tbl>
      <w:tblPr>
        <w:tblW w:type="dxa" w:w="14280"/>
        <w:jc w:val="left"/>
        <w:tblLayout w:type="fixed"/>
        <w:tblLook w:firstColumn="1" w:firstRow="1" w:lastColumn="0" w:lastRow="0" w:noHBand="0" w:noVBand="1" w:val="04A0"/>
        <w:tblInd w:w="120" w:type="dxa"/>
        <w:tblBorders>
          <w:top w:val="single" w:sz="4" w:space="0" w:color="AAB7C4"/>
          <w:left w:val="single" w:sz="4" w:space="0" w:color="AAB7C4"/>
          <w:bottom w:val="single" w:sz="4" w:space="0" w:color="AAB7C4"/>
          <w:right w:val="single" w:sz="4" w:space="0" w:color="AAB7C4"/>
          <w:insideH w:val="single" w:sz="4" w:space="0" w:color="AAB7C4"/>
          <w:insideV w:val="single" w:sz="4" w:space="0" w:color="AAB7C4"/>
        </w:tblBorders>
      </w:tblPr>
      <w:tblGrid>
        <w:gridCol w:w="1800"/>
        <w:gridCol w:w="1150"/>
        <w:gridCol w:w="1150"/>
        <w:gridCol w:w="520"/>
        <w:gridCol w:w="620"/>
        <w:gridCol w:w="1180"/>
        <w:gridCol w:w="1500"/>
        <w:gridCol w:w="1100"/>
        <w:gridCol w:w="1700"/>
        <w:gridCol w:w="3560"/>
      </w:tblGrid>
      <w:tr>
        <w:trPr>
          <w:tblHeader w:val="true"/>
          <w:cantSplit/>
        </w:trPr>
        <w:tc>
          <w:tcPr>
            <w:tcW w:type="dxa" w:w="1800"/>
            <w:shd w:fill="E8EEF5"/>
            <w:tcMar>
              <w:top w:w="80" w:type="dxa"/>
              <w:start w:w="120" w:type="dxa"/>
              <w:bottom w:w="80" w:type="dxa"/>
              <w:end w:w="120" w:type="dxa"/>
            </w:tcMar>
            <w:vAlign w:val="center"/>
          </w:tcPr>
          <w:p>
            <w:pPr>
              <w:spacing w:before="0" w:after="0" w:line="240" w:lineRule="auto"/>
              <w:jc w:val="left"/>
            </w:pPr>
            <w:r>
              <w:rPr>
                <w:rFonts w:ascii="Calibri" w:hAnsi="Calibri"/>
                <w:b/>
                <w:color w:val="18324A"/>
                <w:sz w:val="13"/>
              </w:rPr>
              <w:t>Kouzlo</w:t>
            </w:r>
          </w:p>
        </w:tc>
        <w:tc>
          <w:tcPr>
            <w:tcW w:type="dxa" w:w="1150"/>
            <w:shd w:fill="E8EEF5"/>
            <w:tcMar>
              <w:top w:w="80" w:type="dxa"/>
              <w:start w:w="120" w:type="dxa"/>
              <w:bottom w:w="80" w:type="dxa"/>
              <w:end w:w="120" w:type="dxa"/>
            </w:tcMar>
            <w:vAlign w:val="center"/>
          </w:tcPr>
          <w:p>
            <w:pPr>
              <w:spacing w:before="0" w:after="0" w:line="240" w:lineRule="auto"/>
              <w:jc w:val="center"/>
            </w:pPr>
            <w:r>
              <w:rPr>
                <w:rFonts w:ascii="Calibri" w:hAnsi="Calibri"/>
                <w:b/>
                <w:color w:val="18324A"/>
                <w:sz w:val="13"/>
              </w:rPr>
              <w:t>Škola</w:t>
            </w:r>
          </w:p>
        </w:tc>
        <w:tc>
          <w:tcPr>
            <w:tcW w:type="dxa" w:w="1150"/>
            <w:shd w:fill="E8EEF5"/>
            <w:tcMar>
              <w:top w:w="80" w:type="dxa"/>
              <w:start w:w="120" w:type="dxa"/>
              <w:bottom w:w="80" w:type="dxa"/>
              <w:end w:w="120" w:type="dxa"/>
            </w:tcMar>
            <w:vAlign w:val="center"/>
          </w:tcPr>
          <w:p>
            <w:pPr>
              <w:spacing w:before="0" w:after="0" w:line="240" w:lineRule="auto"/>
              <w:jc w:val="center"/>
            </w:pPr>
            <w:r>
              <w:rPr>
                <w:rFonts w:ascii="Calibri" w:hAnsi="Calibri"/>
                <w:b/>
                <w:color w:val="18324A"/>
                <w:sz w:val="13"/>
              </w:rPr>
              <w:t>Typ</w:t>
            </w:r>
          </w:p>
        </w:tc>
        <w:tc>
          <w:tcPr>
            <w:tcW w:type="dxa" w:w="520"/>
            <w:shd w:fill="E8EEF5"/>
            <w:tcMar>
              <w:top w:w="80" w:type="dxa"/>
              <w:start w:w="120" w:type="dxa"/>
              <w:bottom w:w="80" w:type="dxa"/>
              <w:end w:w="120" w:type="dxa"/>
            </w:tcMar>
            <w:vAlign w:val="center"/>
          </w:tcPr>
          <w:p>
            <w:pPr>
              <w:spacing w:before="0" w:after="0" w:line="240" w:lineRule="auto"/>
              <w:jc w:val="center"/>
            </w:pPr>
            <w:r>
              <w:rPr>
                <w:rFonts w:ascii="Calibri" w:hAnsi="Calibri"/>
                <w:b/>
                <w:color w:val="18324A"/>
                <w:sz w:val="13"/>
              </w:rPr>
              <w:t>Min. CH</w:t>
            </w:r>
          </w:p>
        </w:tc>
        <w:tc>
          <w:tcPr>
            <w:tcW w:type="dxa" w:w="620"/>
            <w:shd w:fill="E8EEF5"/>
            <w:tcMar>
              <w:top w:w="80" w:type="dxa"/>
              <w:start w:w="120" w:type="dxa"/>
              <w:bottom w:w="80" w:type="dxa"/>
              <w:end w:w="120" w:type="dxa"/>
            </w:tcMar>
            <w:vAlign w:val="center"/>
          </w:tcPr>
          <w:p>
            <w:pPr>
              <w:spacing w:before="0" w:after="0" w:line="240" w:lineRule="auto"/>
              <w:jc w:val="center"/>
            </w:pPr>
            <w:r>
              <w:rPr>
                <w:rFonts w:ascii="Calibri" w:hAnsi="Calibri"/>
                <w:b/>
                <w:color w:val="18324A"/>
                <w:sz w:val="13"/>
              </w:rPr>
              <w:t>Min. Level</w:t>
            </w:r>
          </w:p>
        </w:tc>
        <w:tc>
          <w:tcPr>
            <w:tcW w:type="dxa" w:w="1180"/>
            <w:shd w:fill="E8EEF5"/>
            <w:tcMar>
              <w:top w:w="80" w:type="dxa"/>
              <w:start w:w="120" w:type="dxa"/>
              <w:bottom w:w="80" w:type="dxa"/>
              <w:end w:w="120" w:type="dxa"/>
            </w:tcMar>
            <w:vAlign w:val="center"/>
          </w:tcPr>
          <w:p>
            <w:pPr>
              <w:spacing w:before="0" w:after="0" w:line="240" w:lineRule="auto"/>
              <w:jc w:val="center"/>
            </w:pPr>
            <w:r>
              <w:rPr>
                <w:rFonts w:ascii="Calibri" w:hAnsi="Calibri"/>
                <w:b/>
                <w:color w:val="18324A"/>
                <w:sz w:val="13"/>
              </w:rPr>
              <w:t>Bonus</w:t>
            </w:r>
          </w:p>
        </w:tc>
        <w:tc>
          <w:tcPr>
            <w:tcW w:type="dxa" w:w="1500"/>
            <w:shd w:fill="E8EEF5"/>
            <w:tcMar>
              <w:top w:w="80" w:type="dxa"/>
              <w:start w:w="120" w:type="dxa"/>
              <w:bottom w:w="80" w:type="dxa"/>
              <w:end w:w="120" w:type="dxa"/>
            </w:tcMar>
            <w:vAlign w:val="center"/>
          </w:tcPr>
          <w:p>
            <w:pPr>
              <w:spacing w:before="0" w:after="0" w:line="240" w:lineRule="auto"/>
              <w:jc w:val="left"/>
            </w:pPr>
            <w:r>
              <w:rPr>
                <w:rFonts w:ascii="Calibri" w:hAnsi="Calibri"/>
                <w:b/>
                <w:color w:val="18324A"/>
                <w:sz w:val="13"/>
              </w:rPr>
              <w:t>Cíl</w:t>
            </w:r>
          </w:p>
        </w:tc>
        <w:tc>
          <w:tcPr>
            <w:tcW w:type="dxa" w:w="1100"/>
            <w:shd w:fill="E8EEF5"/>
            <w:tcMar>
              <w:top w:w="80" w:type="dxa"/>
              <w:start w:w="120" w:type="dxa"/>
              <w:bottom w:w="80" w:type="dxa"/>
              <w:end w:w="120" w:type="dxa"/>
            </w:tcMar>
            <w:vAlign w:val="center"/>
          </w:tcPr>
          <w:p>
            <w:pPr>
              <w:spacing w:before="0" w:after="0" w:line="240" w:lineRule="auto"/>
              <w:jc w:val="center"/>
            </w:pPr>
            <w:r>
              <w:rPr>
                <w:rFonts w:ascii="Calibri" w:hAnsi="Calibri"/>
                <w:b/>
                <w:color w:val="18324A"/>
                <w:sz w:val="13"/>
              </w:rPr>
              <w:t>Trvání</w:t>
            </w:r>
          </w:p>
        </w:tc>
        <w:tc>
          <w:tcPr>
            <w:tcW w:type="dxa" w:w="1700"/>
            <w:shd w:fill="E8EEF5"/>
            <w:tcMar>
              <w:top w:w="80" w:type="dxa"/>
              <w:start w:w="120" w:type="dxa"/>
              <w:bottom w:w="80" w:type="dxa"/>
              <w:end w:w="120" w:type="dxa"/>
            </w:tcMar>
            <w:vAlign w:val="center"/>
          </w:tcPr>
          <w:p>
            <w:pPr>
              <w:spacing w:before="0" w:after="0" w:line="240" w:lineRule="auto"/>
              <w:jc w:val="left"/>
            </w:pPr>
            <w:r>
              <w:rPr>
                <w:rFonts w:ascii="Calibri" w:hAnsi="Calibri"/>
                <w:b/>
                <w:color w:val="18324A"/>
                <w:sz w:val="13"/>
              </w:rPr>
              <w:t>Omezení</w:t>
            </w:r>
          </w:p>
        </w:tc>
        <w:tc>
          <w:tcPr>
            <w:tcW w:type="dxa" w:w="3560"/>
            <w:shd w:fill="E8EEF5"/>
            <w:tcMar>
              <w:top w:w="80" w:type="dxa"/>
              <w:start w:w="120" w:type="dxa"/>
              <w:bottom w:w="80" w:type="dxa"/>
              <w:end w:w="120" w:type="dxa"/>
            </w:tcMar>
            <w:vAlign w:val="center"/>
          </w:tcPr>
          <w:p>
            <w:pPr>
              <w:spacing w:before="0" w:after="0" w:line="240" w:lineRule="auto"/>
              <w:jc w:val="left"/>
            </w:pPr>
            <w:r>
              <w:rPr>
                <w:rFonts w:ascii="Calibri" w:hAnsi="Calibri"/>
                <w:b/>
                <w:color w:val="18324A"/>
                <w:sz w:val="13"/>
              </w:rPr>
              <w:t>Přesný účinek</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Stínový plášť</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Temná magie</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obranné</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6</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+2 FO</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sesilatel</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3 kola</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za souboj; pouze proti útokům na dálku; nesčítá se</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Stíny ztíží zamíření a dají sesilateli +2 FO proti fyzickým útokům na dálku.</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Stínová střela</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Temná magie</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útočné</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7</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+2 k MÚ</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cíl na dohled</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okamžitě</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Přímý stínový útok proti MO cíle.</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Strach</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Temná magie</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ovládací</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7</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+0 k MÚ</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tvor na dohled</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1 kolo</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na stejný cíl za souboj; platí pravidlo hlavního protivníka</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Při úspěchu se běžný cíl nemůže přiblížit k sesilateli a má −2 k příštímu útoku. Hlavní protivník se může pohybovat, ale postih k útoku zůstává.</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Oslabení</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Temná magie</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ovládací</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8</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2</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+1 k MÚ</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tvor na dohled</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2 kola</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na stejný cíl za souboj; postih se nesčítá</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Při úspěchu má cíl −2 k FÚ. Neovlivňuje MÚ ani obrany.</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Kletba</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Temná magie</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ovládací</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8</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2</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+1 k MÚ</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tvor na dohled</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do dvou zkoušek zvolené vlastnosti, nejdéle 1 scéna</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na stejný cíl za dobrodružství</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Při úspěchu zvol S, O, CH, CHA nebo Š; cíl má −2 k příštím dvěma zkouškám této vlastnosti. Postih se nesčítá.</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Temná mlha</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Temná magie</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ovládací</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8</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2</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prostor přibližně 3 m široký</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2 kola</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za souboj</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Útoky z mlhy nebo do ní mají −2 k výslednému FÚ či MÚ. Tvor uvnitř nevidí mimo mlhu; postih platí pro všechny.</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Vysátí života</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Temná magie</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útočné</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9</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3</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+4 k MÚ</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živý cíl na dohled</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okamžitě</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za souboj</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Po běžném výpočtu zranění obnoví sesilateli tolik Ž, kolik činí nižší z hodnot 2 a skutečně způsobené zranění. Tento vedlejší návrat Ž nepoužívá koeficient léčení.</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Přízračná pouta</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Temná magie</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ovládací</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9</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3</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+2 k MÚ</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tvor na dohled</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1 kolo</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na stejný cíl za souboj; platí pravidlo hlavního protivníka</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Při úspěchu se běžný cíl nemůže přesunout, ale může jednat na dosah. Hlavní protivník má pouze poloviční přesun.</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Nemrtvý služebník</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Temná magie</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užitkové</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10</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5</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jedna malá hromádka kostí nebo nehybné ostatky</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1 scéna</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za dobrodružství; nejvýše 1 služebník</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Vytvoří neútočného kostěného služebníka. Unese do 20 kg a splní jednoduché příkazy jako přines, drž, otevři nebo střež; nemůže bojovat ani mluvit.</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Paprsek vyčerpání</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Temná magie</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útočné / ovládací</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11</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7</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+5 k MÚ</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cíl na dohled</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do konce příštího tahu cíle</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za souboj</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Silný útok proti MO. Při zranění alespoň 1 Ž má cíl navíc −1 k příštímu útoku; postih se nesčítá.</w:t>
            </w:r>
          </w:p>
        </w:tc>
      </w:tr>
    </w:tbl>
    <w:p>
      <w:r>
        <w:br w:type="page"/>
      </w:r>
    </w:p>
    <w:p>
      <w:pPr>
        <w:keepNext/>
        <w:spacing w:before="0" w:after="80"/>
      </w:pPr>
      <w:r>
        <w:rPr>
          <w:rFonts w:ascii="Calibri" w:hAnsi="Calibri"/>
          <w:b/>
          <w:color w:val="2E74B5"/>
          <w:sz w:val="25"/>
        </w:rPr>
        <w:t>3.10  Přírodní magie</w:t>
      </w:r>
    </w:p>
    <w:p>
      <w:pPr>
        <w:spacing w:before="0" w:after="100" w:line="252" w:lineRule="auto"/>
      </w:pPr>
      <w:r>
        <w:rPr>
          <w:rFonts w:ascii="Calibri" w:hAnsi="Calibri"/>
          <w:b w:val="0"/>
          <w:color w:val="000000"/>
          <w:sz w:val="17"/>
        </w:rPr>
        <w:t>Rostliny, zvířata, přírodní síly a přírodní léčení. Tematicky blízká hraničářům, elfům a některým léčitelům.</w:t>
      </w:r>
    </w:p>
    <w:tbl>
      <w:tblPr>
        <w:tblW w:type="dxa" w:w="14280"/>
        <w:jc w:val="left"/>
        <w:tblLayout w:type="fixed"/>
        <w:tblLook w:firstColumn="1" w:firstRow="1" w:lastColumn="0" w:lastRow="0" w:noHBand="0" w:noVBand="1" w:val="04A0"/>
        <w:tblInd w:w="120" w:type="dxa"/>
        <w:tblBorders>
          <w:top w:val="single" w:sz="4" w:space="0" w:color="AAB7C4"/>
          <w:left w:val="single" w:sz="4" w:space="0" w:color="AAB7C4"/>
          <w:bottom w:val="single" w:sz="4" w:space="0" w:color="AAB7C4"/>
          <w:right w:val="single" w:sz="4" w:space="0" w:color="AAB7C4"/>
          <w:insideH w:val="single" w:sz="4" w:space="0" w:color="AAB7C4"/>
          <w:insideV w:val="single" w:sz="4" w:space="0" w:color="AAB7C4"/>
        </w:tblBorders>
      </w:tblPr>
      <w:tblGrid>
        <w:gridCol w:w="1800"/>
        <w:gridCol w:w="1150"/>
        <w:gridCol w:w="1150"/>
        <w:gridCol w:w="520"/>
        <w:gridCol w:w="620"/>
        <w:gridCol w:w="1180"/>
        <w:gridCol w:w="1500"/>
        <w:gridCol w:w="1100"/>
        <w:gridCol w:w="1700"/>
        <w:gridCol w:w="3560"/>
      </w:tblGrid>
      <w:tr>
        <w:trPr>
          <w:tblHeader w:val="true"/>
          <w:cantSplit/>
        </w:trPr>
        <w:tc>
          <w:tcPr>
            <w:tcW w:type="dxa" w:w="1800"/>
            <w:shd w:fill="E8EEF5"/>
            <w:tcMar>
              <w:top w:w="80" w:type="dxa"/>
              <w:start w:w="120" w:type="dxa"/>
              <w:bottom w:w="80" w:type="dxa"/>
              <w:end w:w="120" w:type="dxa"/>
            </w:tcMar>
            <w:vAlign w:val="center"/>
          </w:tcPr>
          <w:p>
            <w:pPr>
              <w:spacing w:before="0" w:after="0" w:line="240" w:lineRule="auto"/>
              <w:jc w:val="left"/>
            </w:pPr>
            <w:r>
              <w:rPr>
                <w:rFonts w:ascii="Calibri" w:hAnsi="Calibri"/>
                <w:b/>
                <w:color w:val="18324A"/>
                <w:sz w:val="13"/>
              </w:rPr>
              <w:t>Kouzlo</w:t>
            </w:r>
          </w:p>
        </w:tc>
        <w:tc>
          <w:tcPr>
            <w:tcW w:type="dxa" w:w="1150"/>
            <w:shd w:fill="E8EEF5"/>
            <w:tcMar>
              <w:top w:w="80" w:type="dxa"/>
              <w:start w:w="120" w:type="dxa"/>
              <w:bottom w:w="80" w:type="dxa"/>
              <w:end w:w="120" w:type="dxa"/>
            </w:tcMar>
            <w:vAlign w:val="center"/>
          </w:tcPr>
          <w:p>
            <w:pPr>
              <w:spacing w:before="0" w:after="0" w:line="240" w:lineRule="auto"/>
              <w:jc w:val="center"/>
            </w:pPr>
            <w:r>
              <w:rPr>
                <w:rFonts w:ascii="Calibri" w:hAnsi="Calibri"/>
                <w:b/>
                <w:color w:val="18324A"/>
                <w:sz w:val="13"/>
              </w:rPr>
              <w:t>Škola</w:t>
            </w:r>
          </w:p>
        </w:tc>
        <w:tc>
          <w:tcPr>
            <w:tcW w:type="dxa" w:w="1150"/>
            <w:shd w:fill="E8EEF5"/>
            <w:tcMar>
              <w:top w:w="80" w:type="dxa"/>
              <w:start w:w="120" w:type="dxa"/>
              <w:bottom w:w="80" w:type="dxa"/>
              <w:end w:w="120" w:type="dxa"/>
            </w:tcMar>
            <w:vAlign w:val="center"/>
          </w:tcPr>
          <w:p>
            <w:pPr>
              <w:spacing w:before="0" w:after="0" w:line="240" w:lineRule="auto"/>
              <w:jc w:val="center"/>
            </w:pPr>
            <w:r>
              <w:rPr>
                <w:rFonts w:ascii="Calibri" w:hAnsi="Calibri"/>
                <w:b/>
                <w:color w:val="18324A"/>
                <w:sz w:val="13"/>
              </w:rPr>
              <w:t>Typ</w:t>
            </w:r>
          </w:p>
        </w:tc>
        <w:tc>
          <w:tcPr>
            <w:tcW w:type="dxa" w:w="520"/>
            <w:shd w:fill="E8EEF5"/>
            <w:tcMar>
              <w:top w:w="80" w:type="dxa"/>
              <w:start w:w="120" w:type="dxa"/>
              <w:bottom w:w="80" w:type="dxa"/>
              <w:end w:w="120" w:type="dxa"/>
            </w:tcMar>
            <w:vAlign w:val="center"/>
          </w:tcPr>
          <w:p>
            <w:pPr>
              <w:spacing w:before="0" w:after="0" w:line="240" w:lineRule="auto"/>
              <w:jc w:val="center"/>
            </w:pPr>
            <w:r>
              <w:rPr>
                <w:rFonts w:ascii="Calibri" w:hAnsi="Calibri"/>
                <w:b/>
                <w:color w:val="18324A"/>
                <w:sz w:val="13"/>
              </w:rPr>
              <w:t>Min. CH</w:t>
            </w:r>
          </w:p>
        </w:tc>
        <w:tc>
          <w:tcPr>
            <w:tcW w:type="dxa" w:w="620"/>
            <w:shd w:fill="E8EEF5"/>
            <w:tcMar>
              <w:top w:w="80" w:type="dxa"/>
              <w:start w:w="120" w:type="dxa"/>
              <w:bottom w:w="80" w:type="dxa"/>
              <w:end w:w="120" w:type="dxa"/>
            </w:tcMar>
            <w:vAlign w:val="center"/>
          </w:tcPr>
          <w:p>
            <w:pPr>
              <w:spacing w:before="0" w:after="0" w:line="240" w:lineRule="auto"/>
              <w:jc w:val="center"/>
            </w:pPr>
            <w:r>
              <w:rPr>
                <w:rFonts w:ascii="Calibri" w:hAnsi="Calibri"/>
                <w:b/>
                <w:color w:val="18324A"/>
                <w:sz w:val="13"/>
              </w:rPr>
              <w:t>Min. Level</w:t>
            </w:r>
          </w:p>
        </w:tc>
        <w:tc>
          <w:tcPr>
            <w:tcW w:type="dxa" w:w="1180"/>
            <w:shd w:fill="E8EEF5"/>
            <w:tcMar>
              <w:top w:w="80" w:type="dxa"/>
              <w:start w:w="120" w:type="dxa"/>
              <w:bottom w:w="80" w:type="dxa"/>
              <w:end w:w="120" w:type="dxa"/>
            </w:tcMar>
            <w:vAlign w:val="center"/>
          </w:tcPr>
          <w:p>
            <w:pPr>
              <w:spacing w:before="0" w:after="0" w:line="240" w:lineRule="auto"/>
              <w:jc w:val="center"/>
            </w:pPr>
            <w:r>
              <w:rPr>
                <w:rFonts w:ascii="Calibri" w:hAnsi="Calibri"/>
                <w:b/>
                <w:color w:val="18324A"/>
                <w:sz w:val="13"/>
              </w:rPr>
              <w:t>Bonus</w:t>
            </w:r>
          </w:p>
        </w:tc>
        <w:tc>
          <w:tcPr>
            <w:tcW w:type="dxa" w:w="1500"/>
            <w:shd w:fill="E8EEF5"/>
            <w:tcMar>
              <w:top w:w="80" w:type="dxa"/>
              <w:start w:w="120" w:type="dxa"/>
              <w:bottom w:w="80" w:type="dxa"/>
              <w:end w:w="120" w:type="dxa"/>
            </w:tcMar>
            <w:vAlign w:val="center"/>
          </w:tcPr>
          <w:p>
            <w:pPr>
              <w:spacing w:before="0" w:after="0" w:line="240" w:lineRule="auto"/>
              <w:jc w:val="left"/>
            </w:pPr>
            <w:r>
              <w:rPr>
                <w:rFonts w:ascii="Calibri" w:hAnsi="Calibri"/>
                <w:b/>
                <w:color w:val="18324A"/>
                <w:sz w:val="13"/>
              </w:rPr>
              <w:t>Cíl</w:t>
            </w:r>
          </w:p>
        </w:tc>
        <w:tc>
          <w:tcPr>
            <w:tcW w:type="dxa" w:w="1100"/>
            <w:shd w:fill="E8EEF5"/>
            <w:tcMar>
              <w:top w:w="80" w:type="dxa"/>
              <w:start w:w="120" w:type="dxa"/>
              <w:bottom w:w="80" w:type="dxa"/>
              <w:end w:w="120" w:type="dxa"/>
            </w:tcMar>
            <w:vAlign w:val="center"/>
          </w:tcPr>
          <w:p>
            <w:pPr>
              <w:spacing w:before="0" w:after="0" w:line="240" w:lineRule="auto"/>
              <w:jc w:val="center"/>
            </w:pPr>
            <w:r>
              <w:rPr>
                <w:rFonts w:ascii="Calibri" w:hAnsi="Calibri"/>
                <w:b/>
                <w:color w:val="18324A"/>
                <w:sz w:val="13"/>
              </w:rPr>
              <w:t>Trvání</w:t>
            </w:r>
          </w:p>
        </w:tc>
        <w:tc>
          <w:tcPr>
            <w:tcW w:type="dxa" w:w="1700"/>
            <w:shd w:fill="E8EEF5"/>
            <w:tcMar>
              <w:top w:w="80" w:type="dxa"/>
              <w:start w:w="120" w:type="dxa"/>
              <w:bottom w:w="80" w:type="dxa"/>
              <w:end w:w="120" w:type="dxa"/>
            </w:tcMar>
            <w:vAlign w:val="center"/>
          </w:tcPr>
          <w:p>
            <w:pPr>
              <w:spacing w:before="0" w:after="0" w:line="240" w:lineRule="auto"/>
              <w:jc w:val="left"/>
            </w:pPr>
            <w:r>
              <w:rPr>
                <w:rFonts w:ascii="Calibri" w:hAnsi="Calibri"/>
                <w:b/>
                <w:color w:val="18324A"/>
                <w:sz w:val="13"/>
              </w:rPr>
              <w:t>Omezení</w:t>
            </w:r>
          </w:p>
        </w:tc>
        <w:tc>
          <w:tcPr>
            <w:tcW w:type="dxa" w:w="3560"/>
            <w:shd w:fill="E8EEF5"/>
            <w:tcMar>
              <w:top w:w="80" w:type="dxa"/>
              <w:start w:w="120" w:type="dxa"/>
              <w:bottom w:w="80" w:type="dxa"/>
              <w:end w:w="120" w:type="dxa"/>
            </w:tcMar>
            <w:vAlign w:val="center"/>
          </w:tcPr>
          <w:p>
            <w:pPr>
              <w:spacing w:before="0" w:after="0" w:line="240" w:lineRule="auto"/>
              <w:jc w:val="left"/>
            </w:pPr>
            <w:r>
              <w:rPr>
                <w:rFonts w:ascii="Calibri" w:hAnsi="Calibri"/>
                <w:b/>
                <w:color w:val="18324A"/>
                <w:sz w:val="13"/>
              </w:rPr>
              <w:t>Přesný účinek</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Řeč zvířat</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Přírodní magie</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užitkové</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6</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sesilatel</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1 scéna</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za scénu</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Sesilatel rozumí běžným zvířatům a může jim odpovídat. Zvíře není nuceno pomáhat a ví jen to, co mohlo vnímat.</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Uklidnění zvířete</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Přírodní magie</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ovládací</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6</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+0 k MÚ</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zvíře na dohled</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do konce scény nebo do napadení</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na stejné zvíře za scénu; platí pravidlo hlavního protivníka</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Při úspěchu běžné zvíře přestane útočit, pokud není znovu ohroženo. Hlavní zvířecí protivník pouze vynechá zvláštní schopnost a má −2 k příštímu útoku.</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Léčivá bylina</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Přírodní magie</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léčivé</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6</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základ 3 Ž před koeficientem léčení</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tvor na dosah</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okamžitě</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za scénu; jen tam, kde rostou živé rostliny; sdílený limit léčení v souboji</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Vytvoří krátce zářící léčivou bylinu a obnoví počet Ž podle koeficientu léčení.</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Růst rostlin</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Přírodní magie</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užitkové</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7</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živé rostliny v prostoru do 3 m</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okamžitě; výsledek trvá 1 scénu</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za scénu</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Urychlí růst do podoby žebříku, úkrytu, mostku nebo průchodu. Nezachytí tvora; k tomu slouží Kořeny.</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Trny</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Přírodní magie</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útočné</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7</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+2 k MÚ</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cíl na dohled poblíž rostlin nebo půdy</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okamžitě</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Přímý přírodní útok proti MO cíle.</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Kořeny</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Přírodní magie</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ovládací</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7</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+0 k MÚ</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cíl stojící poblíž půdy nebo rostlin</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1 kolo</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na stejný cíl za souboj; platí pravidlo hlavního protivníka</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Při úspěchu se běžný cíl nemůže přesunout, ale může jednat na dosah. Hlavní protivník má pouze poloviční přesun.</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Kůrová zbroj</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Přírodní magie</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obranné</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7</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+2 FO</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sesilatel nebo 1 spojenec na dosah</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3 kola</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za souboj; nesčítá se</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Cíl získá +2 FO proti fyzickým útokům.</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Zvířecí smysly</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Přírodní magie</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užitkové</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8</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2</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+2 ke dvěma zkouškám</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sesilatel nebo 1 ochotný tvor na dosah</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1 scéna</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bonus jen na vnímání, stopování nebo orientaci</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Cíl získá +2 k nejvýše dvěma zkouškám O nebo CH souvisejícím se smysly, stopami či orientací.</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Regenerace</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Přírodní magie</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léčivé</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9</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3</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základ 6 Ž před koeficientem léčení</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tvor na dosah</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3 kola</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za dobrodružství; sdílený limit léčení v souboji</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Urči celkové léčení koeficientem a rozděl je co nejrovnoměrněji do 3 kol; případný zbytek se obnoví v dřívějších kolech.</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Hněv lesa</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Přírodní magie</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útočné plošné / ovládací</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10</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5</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+3 k MÚ</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nejvýše 3 cíle blízko sebe poblíž půdy nebo rostlin</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okamžitě</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za dobrodružství; platí plošné pravidlo</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Jeden hod MÚ se porovná s MO každého cíle. Cíl zraněný alespoň za 1 Ž se v příštím tahu nemůže přiblížit k sesilateli.</w:t>
            </w:r>
          </w:p>
        </w:tc>
      </w:tr>
    </w:tbl>
    <w:p>
      <w:r>
        <w:br w:type="page"/>
      </w:r>
    </w:p>
    <w:p>
      <w:pPr>
        <w:keepNext/>
        <w:spacing w:before="0" w:after="80"/>
      </w:pPr>
      <w:r>
        <w:rPr>
          <w:rFonts w:ascii="Calibri" w:hAnsi="Calibri"/>
          <w:b/>
          <w:color w:val="2E74B5"/>
          <w:sz w:val="25"/>
        </w:rPr>
        <w:t>3.11  Hvězdná magie</w:t>
      </w:r>
    </w:p>
    <w:p>
      <w:pPr>
        <w:spacing w:before="0" w:after="100" w:line="252" w:lineRule="auto"/>
      </w:pPr>
      <w:r>
        <w:rPr>
          <w:rFonts w:ascii="Calibri" w:hAnsi="Calibri"/>
          <w:b w:val="0"/>
          <w:color w:val="000000"/>
          <w:sz w:val="17"/>
        </w:rPr>
        <w:t>Mistrovská nadstavba pracující s osudem, časem, realitou a vzdálenými světy. Začínající postavy ji nemohou používat.</w:t>
      </w:r>
    </w:p>
    <w:tbl>
      <w:tblPr>
        <w:tblW w:type="dxa" w:w="14280"/>
        <w:jc w:val="left"/>
        <w:tblLayout w:type="fixed"/>
        <w:tblLook w:firstColumn="1" w:firstRow="1" w:lastColumn="0" w:lastRow="0" w:noHBand="0" w:noVBand="1" w:val="04A0"/>
        <w:tblInd w:w="120" w:type="dxa"/>
        <w:tblBorders>
          <w:top w:val="single" w:sz="4" w:space="0" w:color="AAB7C4"/>
          <w:left w:val="single" w:sz="4" w:space="0" w:color="AAB7C4"/>
          <w:bottom w:val="single" w:sz="4" w:space="0" w:color="AAB7C4"/>
          <w:right w:val="single" w:sz="4" w:space="0" w:color="AAB7C4"/>
          <w:insideH w:val="single" w:sz="4" w:space="0" w:color="AAB7C4"/>
          <w:insideV w:val="single" w:sz="4" w:space="0" w:color="AAB7C4"/>
        </w:tblBorders>
      </w:tblPr>
      <w:tblGrid>
        <w:gridCol w:w="1800"/>
        <w:gridCol w:w="1150"/>
        <w:gridCol w:w="1150"/>
        <w:gridCol w:w="520"/>
        <w:gridCol w:w="620"/>
        <w:gridCol w:w="1180"/>
        <w:gridCol w:w="1500"/>
        <w:gridCol w:w="1100"/>
        <w:gridCol w:w="1700"/>
        <w:gridCol w:w="3560"/>
      </w:tblGrid>
      <w:tr>
        <w:trPr>
          <w:tblHeader w:val="true"/>
          <w:cantSplit/>
        </w:trPr>
        <w:tc>
          <w:tcPr>
            <w:tcW w:type="dxa" w:w="1800"/>
            <w:shd w:fill="E8EEF5"/>
            <w:tcMar>
              <w:top w:w="80" w:type="dxa"/>
              <w:start w:w="120" w:type="dxa"/>
              <w:bottom w:w="80" w:type="dxa"/>
              <w:end w:w="120" w:type="dxa"/>
            </w:tcMar>
            <w:vAlign w:val="center"/>
          </w:tcPr>
          <w:p>
            <w:pPr>
              <w:spacing w:before="0" w:after="0" w:line="240" w:lineRule="auto"/>
              <w:jc w:val="left"/>
            </w:pPr>
            <w:r>
              <w:rPr>
                <w:rFonts w:ascii="Calibri" w:hAnsi="Calibri"/>
                <w:b/>
                <w:color w:val="18324A"/>
                <w:sz w:val="13"/>
              </w:rPr>
              <w:t>Kouzlo</w:t>
            </w:r>
          </w:p>
        </w:tc>
        <w:tc>
          <w:tcPr>
            <w:tcW w:type="dxa" w:w="1150"/>
            <w:shd w:fill="E8EEF5"/>
            <w:tcMar>
              <w:top w:w="80" w:type="dxa"/>
              <w:start w:w="120" w:type="dxa"/>
              <w:bottom w:w="80" w:type="dxa"/>
              <w:end w:w="120" w:type="dxa"/>
            </w:tcMar>
            <w:vAlign w:val="center"/>
          </w:tcPr>
          <w:p>
            <w:pPr>
              <w:spacing w:before="0" w:after="0" w:line="240" w:lineRule="auto"/>
              <w:jc w:val="center"/>
            </w:pPr>
            <w:r>
              <w:rPr>
                <w:rFonts w:ascii="Calibri" w:hAnsi="Calibri"/>
                <w:b/>
                <w:color w:val="18324A"/>
                <w:sz w:val="13"/>
              </w:rPr>
              <w:t>Škola</w:t>
            </w:r>
          </w:p>
        </w:tc>
        <w:tc>
          <w:tcPr>
            <w:tcW w:type="dxa" w:w="1150"/>
            <w:shd w:fill="E8EEF5"/>
            <w:tcMar>
              <w:top w:w="80" w:type="dxa"/>
              <w:start w:w="120" w:type="dxa"/>
              <w:bottom w:w="80" w:type="dxa"/>
              <w:end w:w="120" w:type="dxa"/>
            </w:tcMar>
            <w:vAlign w:val="center"/>
          </w:tcPr>
          <w:p>
            <w:pPr>
              <w:spacing w:before="0" w:after="0" w:line="240" w:lineRule="auto"/>
              <w:jc w:val="center"/>
            </w:pPr>
            <w:r>
              <w:rPr>
                <w:rFonts w:ascii="Calibri" w:hAnsi="Calibri"/>
                <w:b/>
                <w:color w:val="18324A"/>
                <w:sz w:val="13"/>
              </w:rPr>
              <w:t>Typ</w:t>
            </w:r>
          </w:p>
        </w:tc>
        <w:tc>
          <w:tcPr>
            <w:tcW w:type="dxa" w:w="520"/>
            <w:shd w:fill="E8EEF5"/>
            <w:tcMar>
              <w:top w:w="80" w:type="dxa"/>
              <w:start w:w="120" w:type="dxa"/>
              <w:bottom w:w="80" w:type="dxa"/>
              <w:end w:w="120" w:type="dxa"/>
            </w:tcMar>
            <w:vAlign w:val="center"/>
          </w:tcPr>
          <w:p>
            <w:pPr>
              <w:spacing w:before="0" w:after="0" w:line="240" w:lineRule="auto"/>
              <w:jc w:val="center"/>
            </w:pPr>
            <w:r>
              <w:rPr>
                <w:rFonts w:ascii="Calibri" w:hAnsi="Calibri"/>
                <w:b/>
                <w:color w:val="18324A"/>
                <w:sz w:val="13"/>
              </w:rPr>
              <w:t>Min. CH</w:t>
            </w:r>
          </w:p>
        </w:tc>
        <w:tc>
          <w:tcPr>
            <w:tcW w:type="dxa" w:w="620"/>
            <w:shd w:fill="E8EEF5"/>
            <w:tcMar>
              <w:top w:w="80" w:type="dxa"/>
              <w:start w:w="120" w:type="dxa"/>
              <w:bottom w:w="80" w:type="dxa"/>
              <w:end w:w="120" w:type="dxa"/>
            </w:tcMar>
            <w:vAlign w:val="center"/>
          </w:tcPr>
          <w:p>
            <w:pPr>
              <w:spacing w:before="0" w:after="0" w:line="240" w:lineRule="auto"/>
              <w:jc w:val="center"/>
            </w:pPr>
            <w:r>
              <w:rPr>
                <w:rFonts w:ascii="Calibri" w:hAnsi="Calibri"/>
                <w:b/>
                <w:color w:val="18324A"/>
                <w:sz w:val="13"/>
              </w:rPr>
              <w:t>Min. Level</w:t>
            </w:r>
          </w:p>
        </w:tc>
        <w:tc>
          <w:tcPr>
            <w:tcW w:type="dxa" w:w="1180"/>
            <w:shd w:fill="E8EEF5"/>
            <w:tcMar>
              <w:top w:w="80" w:type="dxa"/>
              <w:start w:w="120" w:type="dxa"/>
              <w:bottom w:w="80" w:type="dxa"/>
              <w:end w:w="120" w:type="dxa"/>
            </w:tcMar>
            <w:vAlign w:val="center"/>
          </w:tcPr>
          <w:p>
            <w:pPr>
              <w:spacing w:before="0" w:after="0" w:line="240" w:lineRule="auto"/>
              <w:jc w:val="center"/>
            </w:pPr>
            <w:r>
              <w:rPr>
                <w:rFonts w:ascii="Calibri" w:hAnsi="Calibri"/>
                <w:b/>
                <w:color w:val="18324A"/>
                <w:sz w:val="13"/>
              </w:rPr>
              <w:t>Bonus</w:t>
            </w:r>
          </w:p>
        </w:tc>
        <w:tc>
          <w:tcPr>
            <w:tcW w:type="dxa" w:w="1500"/>
            <w:shd w:fill="E8EEF5"/>
            <w:tcMar>
              <w:top w:w="80" w:type="dxa"/>
              <w:start w:w="120" w:type="dxa"/>
              <w:bottom w:w="80" w:type="dxa"/>
              <w:end w:w="120" w:type="dxa"/>
            </w:tcMar>
            <w:vAlign w:val="center"/>
          </w:tcPr>
          <w:p>
            <w:pPr>
              <w:spacing w:before="0" w:after="0" w:line="240" w:lineRule="auto"/>
              <w:jc w:val="left"/>
            </w:pPr>
            <w:r>
              <w:rPr>
                <w:rFonts w:ascii="Calibri" w:hAnsi="Calibri"/>
                <w:b/>
                <w:color w:val="18324A"/>
                <w:sz w:val="13"/>
              </w:rPr>
              <w:t>Cíl</w:t>
            </w:r>
          </w:p>
        </w:tc>
        <w:tc>
          <w:tcPr>
            <w:tcW w:type="dxa" w:w="1100"/>
            <w:shd w:fill="E8EEF5"/>
            <w:tcMar>
              <w:top w:w="80" w:type="dxa"/>
              <w:start w:w="120" w:type="dxa"/>
              <w:bottom w:w="80" w:type="dxa"/>
              <w:end w:w="120" w:type="dxa"/>
            </w:tcMar>
            <w:vAlign w:val="center"/>
          </w:tcPr>
          <w:p>
            <w:pPr>
              <w:spacing w:before="0" w:after="0" w:line="240" w:lineRule="auto"/>
              <w:jc w:val="center"/>
            </w:pPr>
            <w:r>
              <w:rPr>
                <w:rFonts w:ascii="Calibri" w:hAnsi="Calibri"/>
                <w:b/>
                <w:color w:val="18324A"/>
                <w:sz w:val="13"/>
              </w:rPr>
              <w:t>Trvání</w:t>
            </w:r>
          </w:p>
        </w:tc>
        <w:tc>
          <w:tcPr>
            <w:tcW w:type="dxa" w:w="1700"/>
            <w:shd w:fill="E8EEF5"/>
            <w:tcMar>
              <w:top w:w="80" w:type="dxa"/>
              <w:start w:w="120" w:type="dxa"/>
              <w:bottom w:w="80" w:type="dxa"/>
              <w:end w:w="120" w:type="dxa"/>
            </w:tcMar>
            <w:vAlign w:val="center"/>
          </w:tcPr>
          <w:p>
            <w:pPr>
              <w:spacing w:before="0" w:after="0" w:line="240" w:lineRule="auto"/>
              <w:jc w:val="left"/>
            </w:pPr>
            <w:r>
              <w:rPr>
                <w:rFonts w:ascii="Calibri" w:hAnsi="Calibri"/>
                <w:b/>
                <w:color w:val="18324A"/>
                <w:sz w:val="13"/>
              </w:rPr>
              <w:t>Omezení</w:t>
            </w:r>
          </w:p>
        </w:tc>
        <w:tc>
          <w:tcPr>
            <w:tcW w:type="dxa" w:w="3560"/>
            <w:shd w:fill="E8EEF5"/>
            <w:tcMar>
              <w:top w:w="80" w:type="dxa"/>
              <w:start w:w="120" w:type="dxa"/>
              <w:bottom w:w="80" w:type="dxa"/>
              <w:end w:w="120" w:type="dxa"/>
            </w:tcMar>
            <w:vAlign w:val="center"/>
          </w:tcPr>
          <w:p>
            <w:pPr>
              <w:spacing w:before="0" w:after="0" w:line="240" w:lineRule="auto"/>
              <w:jc w:val="left"/>
            </w:pPr>
            <w:r>
              <w:rPr>
                <w:rFonts w:ascii="Calibri" w:hAnsi="Calibri"/>
                <w:b/>
                <w:color w:val="18324A"/>
                <w:sz w:val="13"/>
              </w:rPr>
              <w:t>Přesný účinek</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Pohled osudu</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Hvězdná magie</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užitkové</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14</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12</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jedno právě zvažované rozhodnutí družiny</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okamžitě</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za dobrodružství; vyžaduje znalost kouzla</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AI pravdivě popíše dva nejpravděpodobnější krátkodobé následky dvou konkrétních možností. Neodhalí skryté jistoty ani vzdálenou budoucnost.</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Astrální cesta</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Hvězdná magie</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pohybové / užitkové</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14</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12</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sesilatel</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nejvýše 10 minut</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za dobrodružství; tělo zůstává nehybné</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Duch sesilatele létá a prochází nemagickými překážkami. Nemůže útočit, sesílat další kouzla, manipulovat s předměty ani projít magickou bariérou.</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Změna osudu</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Hvězdná magie</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užitkové</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15</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14</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jedna právě vyhodnocená zkouška na dohled</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okamžitá reakce</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za dobrodružství; vyžaduje znalost kouzla</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Po odhalení výsledku se virtuální hod zopakuje s novou náhodnou permutací a ponechá se lepší z obou výsledků.</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Hvězdný štít</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Hvězdná magie</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obranné plošné</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15</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14</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+5 FO a MO</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sesilatel a nejvýše 2 blízcí spojenci</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3 kola</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za dobrodružství; nesčítá se; vyžaduje znalost kouzla</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Každý z nejvýše 3 cílů získá +5 FO i MO.</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Hvězdný déšť</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Hvězdná magie</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útočné plošné</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16</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16</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+6 k MÚ</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nejvýše 3 cíle blízko sebe</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okamžitě</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za dobrodružství; platí plošné pravidlo; vyžaduje znalost</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Jeden hod MÚ se porovná zvlášť s MO každého cíle. Jde o výjimečnou plošnou sílu vyváženou požadavky a omezením.</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Zastavení času</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Hvězdná magie</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pohybové / užitkové</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17</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18</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sesilatel</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okamžitě</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za dobrodružství; nelze jím seslat další Hvězdné kouzlo</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Sesilatel okamžitě získá jednu dodatečnou hlavní akci, během níž nikdo jiný nejedná. Poté pokračuje původní pořadí.</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Otevření brány mezi světy</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Hvězdná magie</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pohybové</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17</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20</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prázdný prostor pro bránu</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3 kola</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za dobrodružství; rituál 10 minut; mimo souboj</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Otevře průchod pouze do předem známého a příběhově ukotveného světa či roviny. Bránou mohou projít tvorové i nesené vybavení.</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Návrat času</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Hvězdná magie</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užitkové</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18</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22</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celá aktuální scéna</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okamžitě</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za kampaň; vyžaduje znalost kouzla</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Vrátí stav hry přesně na začátek předchozího kola nebo nejvýše o 1 minutu. Obnoví pozice, Životy, předměty i účinky; sesilatel si návrat pamatuje.</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Mimořádné vzkříšení</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Hvězdná magie</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léčivé / duchovní</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18</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25</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návrat na 1 Ž</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ochotná duše zemřelá nejvýše před 1 dnem</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rituál 1 hodina</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za kampaň; nefunguje bez souhlasu duše; vyžaduje znalost</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Navrátí duši do těla a cíl se probudí na 1 Ž. Jde o výjimku pro příběhy, kde skutečná smrt vůbec existuje; základní hráčské postavy na 0 Ž neumírají.</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Přepis reality</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Hvězdná magie</w:t>
            </w:r>
          </w:p>
        </w:tc>
        <w:tc>
          <w:tcPr>
            <w:tcW w:type="dxa" w:w="115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užitkové</w:t>
            </w:r>
          </w:p>
        </w:tc>
        <w:tc>
          <w:tcPr>
            <w:tcW w:type="dxa" w:w="5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18</w:t>
            </w:r>
          </w:p>
        </w:tc>
        <w:tc>
          <w:tcPr>
            <w:tcW w:type="dxa" w:w="62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25</w:t>
            </w:r>
          </w:p>
        </w:tc>
        <w:tc>
          <w:tcPr>
            <w:tcW w:type="dxa" w:w="118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w:t>
            </w:r>
          </w:p>
        </w:tc>
        <w:tc>
          <w:tcPr>
            <w:tcW w:type="dxa" w:w="15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nemagický neživý předmět nejvýše velikosti vozu</w:t>
            </w:r>
          </w:p>
        </w:tc>
        <w:tc>
          <w:tcPr>
            <w:tcW w:type="dxa" w:w="1100"/>
            <w:tcMar>
              <w:top w:w="80" w:type="dxa"/>
              <w:start w:w="120" w:type="dxa"/>
              <w:bottom w:w="80" w:type="dxa"/>
              <w:end w:w="120" w:type="dxa"/>
            </w:tcMar>
            <w:vAlign w:val="center"/>
          </w:tcPr>
          <w:p>
            <w:pPr>
              <w:spacing w:before="0" w:after="0" w:line="252" w:lineRule="auto"/>
              <w:jc w:val="center"/>
            </w:pPr>
            <w:r>
              <w:rPr>
                <w:rFonts w:ascii="Calibri" w:hAnsi="Calibri"/>
                <w:color w:val="000000"/>
                <w:sz w:val="14"/>
              </w:rPr>
              <w:t>10 minut</w:t>
            </w:r>
          </w:p>
        </w:tc>
        <w:tc>
          <w:tcPr>
            <w:tcW w:type="dxa" w:w="1700"/>
            <w:tcMar>
              <w:top w:w="80" w:type="dxa"/>
              <w:start w:w="120" w:type="dxa"/>
              <w:bottom w:w="80" w:type="dxa"/>
              <w:end w:w="120" w:type="dxa"/>
            </w:tcMar>
            <w:vAlign w:val="center"/>
          </w:tcPr>
          <w:p>
            <w:pPr>
              <w:spacing w:before="0" w:after="0" w:line="252" w:lineRule="auto"/>
              <w:jc w:val="left"/>
            </w:pPr>
            <w:r>
              <w:rPr>
                <w:rFonts w:ascii="Calibri" w:hAnsi="Calibri"/>
                <w:color w:val="000000"/>
                <w:sz w:val="14"/>
              </w:rPr>
              <w:t>1× za dobrodružství; vyžaduje znalost kouzla</w:t>
            </w:r>
          </w:p>
        </w:tc>
        <w:tc>
          <w:tcPr>
            <w:tcW w:type="dxa" w:w="3560"/>
            <w:tcMar>
              <w:top w:w="80" w:type="dxa"/>
              <w:start w:w="120" w:type="dxa"/>
              <w:bottom w:w="80" w:type="dxa"/>
              <w:end w:w="120" w:type="dxa"/>
            </w:tcMar>
            <w:vAlign w:val="center"/>
          </w:tcPr>
          <w:p>
            <w:pPr>
              <w:spacing w:before="0" w:after="0" w:line="252" w:lineRule="auto"/>
              <w:jc w:val="left"/>
            </w:pPr>
            <w:r>
              <w:rPr>
                <w:rFonts w:ascii="Calibri" w:hAnsi="Calibri"/>
                <w:color w:val="000000"/>
                <w:sz w:val="14"/>
              </w:rPr>
              <w:t>Na 10 minut změní cíl v jiný běžný nemagický předmět stejné nebo menší velikosti. Nevytvoří živou bytost, artefakt, peníze ani přesnou kopii unikátního klíče.</w:t>
            </w:r>
          </w:p>
        </w:tc>
      </w:tr>
    </w:tbl>
    <w:p>
      <w:pPr>
        <w:sectPr>
          <w:pgSz w:w="15840" w:h="12240" w:orient="landscape"/>
          <w:pgMar w:top="979" w:right="720" w:bottom="720" w:left="720" w:header="403" w:footer="504" w:gutter="0"/>
          <w:cols w:space="720"/>
          <w:docGrid w:linePitch="360"/>
        </w:sectPr>
      </w:pPr>
    </w:p>
    <w:p>
      <w:pPr>
        <w:pStyle w:val="Heading1"/>
        <w:spacing w:before="0"/>
      </w:pPr>
      <w:r>
        <w:t>4. Počáteční magie a učení kouzel</w:t>
      </w:r>
    </w:p>
    <w:p>
      <w:pPr>
        <w:pStyle w:val="Heading2"/>
      </w:pPr>
      <w:r>
        <w:t>4.1 Počáteční výběr</w:t>
      </w:r>
    </w:p>
    <w:tbl>
      <w:tblPr>
        <w:tblW w:type="dxa" w:w="9360"/>
        <w:jc w:val="left"/>
        <w:tblLayout w:type="fixed"/>
        <w:tblLook w:firstColumn="1" w:firstRow="1" w:lastColumn="0" w:lastRow="0" w:noHBand="0" w:noVBand="1" w:val="04A0"/>
        <w:tblInd w:w="120" w:type="dxa"/>
        <w:tblBorders>
          <w:top w:val="single" w:sz="5" w:space="0" w:color="7FA37F"/>
          <w:left w:val="single" w:sz="5" w:space="0" w:color="7FA37F"/>
          <w:bottom w:val="single" w:sz="5" w:space="0" w:color="7FA37F"/>
          <w:right w:val="single" w:sz="5" w:space="0" w:color="7FA37F"/>
          <w:insideH w:val="single" w:sz="5" w:space="0" w:color="7FA37F"/>
          <w:insideV w:val="single" w:sz="5" w:space="0" w:color="7FA37F"/>
        </w:tblBorders>
      </w:tblPr>
      <w:tblGrid>
        <w:gridCol w:w="9360"/>
      </w:tblGrid>
      <w:tr>
        <w:tc>
          <w:tcPr>
            <w:tcW w:type="dxa" w:w="9360"/>
            <w:shd w:fill="EAF4EA"/>
            <w:tcMar>
              <w:top w:w="130" w:type="dxa"/>
              <w:start w:w="180" w:type="dxa"/>
              <w:bottom w:w="130" w:type="dxa"/>
              <w:end w:w="180" w:type="dxa"/>
            </w:tcMar>
          </w:tcPr>
          <w:p>
            <w:pPr>
              <w:spacing w:after="0" w:line="288" w:lineRule="auto"/>
            </w:pPr>
            <w:r>
              <w:rPr>
                <w:rFonts w:ascii="Calibri" w:hAnsi="Calibri"/>
                <w:b/>
                <w:color w:val="18324A"/>
                <w:sz w:val="21"/>
              </w:rPr>
              <w:t xml:space="preserve">SCHVÁLENO: </w:t>
            </w:r>
            <w:r>
              <w:rPr>
                <w:rFonts w:ascii="Calibri" w:hAnsi="Calibri"/>
                <w:color w:val="000000"/>
                <w:sz w:val="21"/>
              </w:rPr>
              <w:t>Kouzelník začíná s 5 známými kouzly, Léčitel se 4 a ostatní čtyři povolání bez kouzel. Všechna počáteční kouzla musí splnit trvalou CH postavy a uvedený výběr zachovává malý, ale praktický začáteční seznam.</w:t>
            </w:r>
          </w:p>
        </w:tc>
      </w:tr>
    </w:tbl>
    <w:p>
      <w:pPr>
        <w:spacing w:after="20"/>
      </w:pPr>
    </w:p>
    <w:tbl>
      <w:tblPr>
        <w:tblW w:type="dxa" w:w="9360"/>
        <w:jc w:val="left"/>
        <w:tblLayout w:type="fixed"/>
        <w:tblLook w:firstColumn="1" w:firstRow="1" w:lastColumn="0" w:lastRow="0" w:noHBand="0" w:noVBand="1" w:val="04A0"/>
        <w:tblInd w:w="120" w:type="dxa"/>
        <w:tblBorders>
          <w:top w:val="single" w:sz="4" w:space="0" w:color="AAB7C4"/>
          <w:left w:val="single" w:sz="4" w:space="0" w:color="AAB7C4"/>
          <w:bottom w:val="single" w:sz="4" w:space="0" w:color="AAB7C4"/>
          <w:right w:val="single" w:sz="4" w:space="0" w:color="AAB7C4"/>
          <w:insideH w:val="single" w:sz="4" w:space="0" w:color="AAB7C4"/>
          <w:insideV w:val="single" w:sz="4" w:space="0" w:color="AAB7C4"/>
        </w:tblBorders>
      </w:tblPr>
      <w:tblGrid>
        <w:gridCol w:w="1800"/>
        <w:gridCol w:w="900"/>
        <w:gridCol w:w="6660"/>
      </w:tblGrid>
      <w:tr>
        <w:trPr>
          <w:tblHeader w:val="true"/>
          <w:cantSplit/>
        </w:trPr>
        <w:tc>
          <w:tcPr>
            <w:tcW w:type="dxa" w:w="1800"/>
            <w:shd w:fill="E8EEF5"/>
            <w:tcMar>
              <w:top w:w="80" w:type="dxa"/>
              <w:start w:w="120" w:type="dxa"/>
              <w:bottom w:w="80" w:type="dxa"/>
              <w:end w:w="120" w:type="dxa"/>
            </w:tcMar>
            <w:vAlign w:val="center"/>
          </w:tcPr>
          <w:p>
            <w:pPr>
              <w:spacing w:before="0" w:after="0" w:line="240" w:lineRule="auto"/>
              <w:jc w:val="left"/>
            </w:pPr>
            <w:r>
              <w:rPr>
                <w:rFonts w:ascii="Calibri" w:hAnsi="Calibri"/>
                <w:b/>
                <w:color w:val="18324A"/>
                <w:sz w:val="18"/>
              </w:rPr>
              <w:t>Povolání</w:t>
            </w:r>
          </w:p>
        </w:tc>
        <w:tc>
          <w:tcPr>
            <w:tcW w:type="dxa" w:w="900"/>
            <w:shd w:fill="E8EEF5"/>
            <w:tcMar>
              <w:top w:w="80" w:type="dxa"/>
              <w:start w:w="120" w:type="dxa"/>
              <w:bottom w:w="80" w:type="dxa"/>
              <w:end w:w="120" w:type="dxa"/>
            </w:tcMar>
            <w:vAlign w:val="center"/>
          </w:tcPr>
          <w:p>
            <w:pPr>
              <w:spacing w:before="0" w:after="0" w:line="240" w:lineRule="auto"/>
              <w:jc w:val="center"/>
            </w:pPr>
            <w:r>
              <w:rPr>
                <w:rFonts w:ascii="Calibri" w:hAnsi="Calibri"/>
                <w:b/>
                <w:color w:val="18324A"/>
                <w:sz w:val="18"/>
              </w:rPr>
              <w:t>Počet</w:t>
            </w:r>
          </w:p>
        </w:tc>
        <w:tc>
          <w:tcPr>
            <w:tcW w:type="dxa" w:w="6660"/>
            <w:shd w:fill="E8EEF5"/>
            <w:tcMar>
              <w:top w:w="80" w:type="dxa"/>
              <w:start w:w="120" w:type="dxa"/>
              <w:bottom w:w="80" w:type="dxa"/>
              <w:end w:w="120" w:type="dxa"/>
            </w:tcMar>
            <w:vAlign w:val="center"/>
          </w:tcPr>
          <w:p>
            <w:pPr>
              <w:spacing w:before="0" w:after="0" w:line="240" w:lineRule="auto"/>
              <w:jc w:val="left"/>
            </w:pPr>
            <w:r>
              <w:rPr>
                <w:rFonts w:ascii="Calibri" w:hAnsi="Calibri"/>
                <w:b/>
                <w:color w:val="18324A"/>
                <w:sz w:val="18"/>
              </w:rPr>
              <w:t>Doporučení</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8"/>
              </w:rPr>
              <w:t>Kouzelník</w:t>
            </w:r>
          </w:p>
        </w:tc>
        <w:tc>
          <w:tcPr>
            <w:tcW w:type="dxa" w:w="900"/>
            <w:tcMar>
              <w:top w:w="80" w:type="dxa"/>
              <w:start w:w="120" w:type="dxa"/>
              <w:bottom w:w="80" w:type="dxa"/>
              <w:end w:w="120" w:type="dxa"/>
            </w:tcMar>
            <w:vAlign w:val="center"/>
          </w:tcPr>
          <w:p>
            <w:pPr>
              <w:spacing w:before="0" w:after="0" w:line="252" w:lineRule="auto"/>
              <w:jc w:val="center"/>
            </w:pPr>
            <w:r>
              <w:rPr>
                <w:rFonts w:ascii="Calibri" w:hAnsi="Calibri"/>
                <w:color w:val="000000"/>
                <w:sz w:val="18"/>
              </w:rPr>
              <w:t>5</w:t>
            </w:r>
          </w:p>
        </w:tc>
        <w:tc>
          <w:tcPr>
            <w:tcW w:type="dxa" w:w="6660"/>
            <w:tcMar>
              <w:top w:w="80" w:type="dxa"/>
              <w:start w:w="120" w:type="dxa"/>
              <w:bottom w:w="80" w:type="dxa"/>
              <w:end w:w="120" w:type="dxa"/>
            </w:tcMar>
            <w:vAlign w:val="center"/>
          </w:tcPr>
          <w:p>
            <w:pPr>
              <w:spacing w:before="0" w:after="0" w:line="252" w:lineRule="auto"/>
              <w:jc w:val="left"/>
            </w:pPr>
            <w:r>
              <w:rPr>
                <w:rFonts w:ascii="Calibri" w:hAnsi="Calibri"/>
                <w:color w:val="000000"/>
                <w:sz w:val="18"/>
              </w:rPr>
              <w:t>Světélko, Magická ruka, Odhalení magie + libovolná 2 kouzla s CH nejvýše 7 z jedné či dvou základních škol, která skutečně splňuje.</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8"/>
              </w:rPr>
              <w:t>Léčitel</w:t>
            </w:r>
          </w:p>
        </w:tc>
        <w:tc>
          <w:tcPr>
            <w:tcW w:type="dxa" w:w="900"/>
            <w:tcMar>
              <w:top w:w="80" w:type="dxa"/>
              <w:start w:w="120" w:type="dxa"/>
              <w:bottom w:w="80" w:type="dxa"/>
              <w:end w:w="120" w:type="dxa"/>
            </w:tcMar>
            <w:vAlign w:val="center"/>
          </w:tcPr>
          <w:p>
            <w:pPr>
              <w:spacing w:before="0" w:after="0" w:line="252" w:lineRule="auto"/>
              <w:jc w:val="center"/>
            </w:pPr>
            <w:r>
              <w:rPr>
                <w:rFonts w:ascii="Calibri" w:hAnsi="Calibri"/>
                <w:color w:val="000000"/>
                <w:sz w:val="18"/>
              </w:rPr>
              <w:t>4</w:t>
            </w:r>
          </w:p>
        </w:tc>
        <w:tc>
          <w:tcPr>
            <w:tcW w:type="dxa" w:w="6660"/>
            <w:tcMar>
              <w:top w:w="80" w:type="dxa"/>
              <w:start w:w="120" w:type="dxa"/>
              <w:bottom w:w="80" w:type="dxa"/>
              <w:end w:w="120" w:type="dxa"/>
            </w:tcMar>
            <w:vAlign w:val="center"/>
          </w:tcPr>
          <w:p>
            <w:pPr>
              <w:spacing w:before="0" w:after="0" w:line="252" w:lineRule="auto"/>
              <w:jc w:val="left"/>
            </w:pPr>
            <w:r>
              <w:rPr>
                <w:rFonts w:ascii="Calibri" w:hAnsi="Calibri"/>
                <w:color w:val="000000"/>
                <w:sz w:val="18"/>
              </w:rPr>
              <w:t>Léčení, Očista, Požehnání + 1 kouzlo Světlé, Duchovní nebo Přírodní magie s CH nejvýše podle postavy.</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8"/>
              </w:rPr>
              <w:t>Bojovník, Hraničář, Zloděj, Bard</w:t>
            </w:r>
          </w:p>
        </w:tc>
        <w:tc>
          <w:tcPr>
            <w:tcW w:type="dxa" w:w="900"/>
            <w:tcMar>
              <w:top w:w="80" w:type="dxa"/>
              <w:start w:w="120" w:type="dxa"/>
              <w:bottom w:w="80" w:type="dxa"/>
              <w:end w:w="120" w:type="dxa"/>
            </w:tcMar>
            <w:vAlign w:val="center"/>
          </w:tcPr>
          <w:p>
            <w:pPr>
              <w:spacing w:before="0" w:after="0" w:line="252" w:lineRule="auto"/>
              <w:jc w:val="center"/>
            </w:pPr>
            <w:r>
              <w:rPr>
                <w:rFonts w:ascii="Calibri" w:hAnsi="Calibri"/>
                <w:color w:val="000000"/>
                <w:sz w:val="18"/>
              </w:rPr>
              <w:t>0</w:t>
            </w:r>
          </w:p>
        </w:tc>
        <w:tc>
          <w:tcPr>
            <w:tcW w:type="dxa" w:w="6660"/>
            <w:tcMar>
              <w:top w:w="80" w:type="dxa"/>
              <w:start w:w="120" w:type="dxa"/>
              <w:bottom w:w="80" w:type="dxa"/>
              <w:end w:w="120" w:type="dxa"/>
            </w:tcMar>
            <w:vAlign w:val="center"/>
          </w:tcPr>
          <w:p>
            <w:pPr>
              <w:spacing w:before="0" w:after="0" w:line="252" w:lineRule="auto"/>
              <w:jc w:val="left"/>
            </w:pPr>
            <w:r>
              <w:rPr>
                <w:rFonts w:ascii="Calibri" w:hAnsi="Calibri"/>
                <w:color w:val="000000"/>
                <w:sz w:val="18"/>
              </w:rPr>
              <w:t>V základním začátku bez kouzel. Později je mohou skutečně získat z učitele, knihy, svitku, odměny, nálezu nebo příběhu.</w:t>
            </w:r>
          </w:p>
        </w:tc>
      </w:tr>
    </w:tbl>
    <w:p>
      <w:pPr>
        <w:pStyle w:val="Heading2"/>
      </w:pPr>
      <w:r>
        <w:t>4.2 Získávání dalších kouzel</w:t>
      </w:r>
    </w:p>
    <w:p>
      <w:pPr>
        <w:pStyle w:val="ListBullet"/>
        <w:ind w:left="540" w:hanging="271"/>
      </w:pPr>
      <w:r>
        <w:rPr>
          <w:rFonts w:ascii="Calibri" w:hAnsi="Calibri"/>
          <w:color w:val="000000"/>
          <w:sz w:val="21"/>
        </w:rPr>
        <w:t xml:space="preserve"> Minimální Chytrost a Level pouze určují schopnost kouzlo se naučit; samy kouzlo nepřidávají. Min. CH se posuzuje podle trvalé CH bez vybavení a dočasných účinků.</w:t>
      </w:r>
    </w:p>
    <w:p>
      <w:pPr>
        <w:pStyle w:val="ListBullet"/>
        <w:ind w:left="540" w:hanging="271"/>
      </w:pPr>
      <w:r>
        <w:rPr>
          <w:rFonts w:ascii="Calibri" w:hAnsi="Calibri"/>
          <w:color w:val="000000"/>
          <w:sz w:val="21"/>
        </w:rPr>
        <w:t xml:space="preserve"> Jednou řádně naučené kouzlo zůstává známé. Min. CH se při každém seslání znovu nekontroluje; aktivní +CH z vybavení ale běžně zvyšuje MÚ, MO a zkoušky CH.</w:t>
      </w:r>
    </w:p>
    <w:p>
      <w:pPr>
        <w:pStyle w:val="ListBullet"/>
        <w:ind w:left="540" w:hanging="271"/>
      </w:pPr>
      <w:r>
        <w:rPr>
          <w:rFonts w:ascii="Calibri" w:hAnsi="Calibri"/>
          <w:color w:val="000000"/>
          <w:sz w:val="21"/>
        </w:rPr>
        <w:t xml:space="preserve"> Kouzlo lze získat při levelování, od učitele, z knihy, ze svitku, jako odměnu, nálezem nebo příběhovou událostí.</w:t>
      </w:r>
    </w:p>
    <w:p>
      <w:pPr>
        <w:pStyle w:val="ListBullet"/>
        <w:ind w:left="540" w:hanging="271"/>
      </w:pPr>
      <w:r>
        <w:rPr>
          <w:rFonts w:ascii="Calibri" w:hAnsi="Calibri"/>
          <w:color w:val="000000"/>
          <w:sz w:val="21"/>
        </w:rPr>
        <w:t xml:space="preserve"> Povolání nevytváří absolutní zákaz. Koeficient zajistí, že stejné útočné kouzlo používá kouzelník účinněji než bojovník.</w:t>
      </w:r>
    </w:p>
    <w:p>
      <w:pPr>
        <w:pStyle w:val="ListBullet"/>
        <w:ind w:left="540" w:hanging="271"/>
      </w:pPr>
      <w:r>
        <w:rPr>
          <w:rFonts w:ascii="Calibri" w:hAnsi="Calibri"/>
          <w:color w:val="000000"/>
          <w:sz w:val="21"/>
        </w:rPr>
        <w:t xml:space="preserve"> Tematická afinita rasy či povolání nyní nepřidává číselný bonus.</w:t>
      </w:r>
    </w:p>
    <w:p>
      <w:pPr>
        <w:pStyle w:val="Heading2"/>
      </w:pPr>
      <w:r>
        <w:t>4.3 Levelování a Chytrost</w:t>
      </w:r>
    </w:p>
    <w:p>
      <w:pPr>
        <w:pStyle w:val="ListBullet"/>
        <w:ind w:left="540" w:hanging="271"/>
      </w:pPr>
      <w:r>
        <w:rPr>
          <w:rFonts w:ascii="Calibri" w:hAnsi="Calibri"/>
          <w:color w:val="000000"/>
          <w:sz w:val="21"/>
        </w:rPr>
        <w:t xml:space="preserve"> Za každý nový Level získá postava +1 do jedné zvolené vlastnosti; žádná vlastnost přirozeně nepřekročí 20.</w:t>
      </w:r>
    </w:p>
    <w:p>
      <w:pPr>
        <w:pStyle w:val="ListBullet"/>
        <w:ind w:left="540" w:hanging="271"/>
      </w:pPr>
      <w:r>
        <w:rPr>
          <w:rFonts w:ascii="Calibri" w:hAnsi="Calibri"/>
          <w:color w:val="000000"/>
          <w:sz w:val="21"/>
        </w:rPr>
        <w:t xml:space="preserve"> Hratelné jsou Levely 1–99. Dosažením Levelu 100 hrdina odchází do Hvězdné síně slávy.</w:t>
      </w:r>
    </w:p>
    <w:p>
      <w:pPr>
        <w:pStyle w:val="ListBullet"/>
        <w:ind w:left="540" w:hanging="271"/>
      </w:pPr>
      <w:r>
        <w:rPr>
          <w:rFonts w:ascii="Calibri" w:hAnsi="Calibri"/>
          <w:color w:val="000000"/>
          <w:sz w:val="21"/>
        </w:rPr>
        <w:t xml:space="preserve"> V jednoduchém režimu bez XP a Levelů lze po významném dobrodružství zvýšit nejvýše jednu vlastnost o +1.</w:t>
      </w:r>
    </w:p>
    <w:p>
      <w:pPr>
        <w:pStyle w:val="ListBullet"/>
        <w:ind w:left="540" w:hanging="271"/>
      </w:pPr>
      <w:r>
        <w:rPr>
          <w:rFonts w:ascii="Calibri" w:hAnsi="Calibri"/>
          <w:color w:val="000000"/>
          <w:sz w:val="21"/>
        </w:rPr>
        <w:t xml:space="preserve"> Tím jsou požadavky CH 11–18 i Min. Levely Hvězdné magie dosažitelné; starý limit vlastnosti 10 se nepoužívá.</w:t>
      </w:r>
    </w:p>
    <w:p>
      <w:pPr>
        <w:pStyle w:val="Heading1"/>
      </w:pPr>
      <w:r>
        <w:t>5. Matematický balancing</w:t>
      </w:r>
    </w:p>
    <w:p>
      <w:pPr>
        <w:pStyle w:val="Heading2"/>
      </w:pPr>
      <w:r>
        <w:t>5.1 Upravený bonus útočného kouzla</w:t>
      </w:r>
    </w:p>
    <w:tbl>
      <w:tblPr>
        <w:tblW w:type="dxa" w:w="9360"/>
        <w:jc w:val="left"/>
        <w:tblLayout w:type="fixed"/>
        <w:tblLook w:firstColumn="1" w:firstRow="1" w:lastColumn="0" w:lastRow="0" w:noHBand="0" w:noVBand="1" w:val="04A0"/>
        <w:tblInd w:w="120" w:type="dxa"/>
        <w:tblBorders>
          <w:top w:val="single" w:sz="4" w:space="0" w:color="AAB7C4"/>
          <w:left w:val="single" w:sz="4" w:space="0" w:color="AAB7C4"/>
          <w:bottom w:val="single" w:sz="4" w:space="0" w:color="AAB7C4"/>
          <w:right w:val="single" w:sz="4" w:space="0" w:color="AAB7C4"/>
          <w:insideH w:val="single" w:sz="4" w:space="0" w:color="AAB7C4"/>
          <w:insideV w:val="single" w:sz="4" w:space="0" w:color="AAB7C4"/>
        </w:tblBorders>
      </w:tblPr>
      <w:tblGrid>
        <w:gridCol w:w="900"/>
        <w:gridCol w:w="1410"/>
        <w:gridCol w:w="1410"/>
        <w:gridCol w:w="1410"/>
        <w:gridCol w:w="1410"/>
        <w:gridCol w:w="1410"/>
        <w:gridCol w:w="1410"/>
      </w:tblGrid>
      <w:tr>
        <w:trPr>
          <w:tblHeader w:val="true"/>
          <w:cantSplit/>
        </w:trPr>
        <w:tc>
          <w:tcPr>
            <w:tcW w:type="dxa" w:w="900"/>
            <w:shd w:fill="E8EEF5"/>
            <w:tcMar>
              <w:top w:w="80" w:type="dxa"/>
              <w:start w:w="120" w:type="dxa"/>
              <w:bottom w:w="80" w:type="dxa"/>
              <w:end w:w="120" w:type="dxa"/>
            </w:tcMar>
            <w:vAlign w:val="center"/>
          </w:tcPr>
          <w:p>
            <w:pPr>
              <w:spacing w:before="0" w:after="0" w:line="240" w:lineRule="auto"/>
              <w:jc w:val="center"/>
            </w:pPr>
            <w:r>
              <w:rPr>
                <w:rFonts w:ascii="Calibri" w:hAnsi="Calibri"/>
                <w:b/>
                <w:color w:val="18324A"/>
                <w:sz w:val="16"/>
              </w:rPr>
              <w:t>Základ</w:t>
            </w:r>
          </w:p>
        </w:tc>
        <w:tc>
          <w:tcPr>
            <w:tcW w:type="dxa" w:w="1410"/>
            <w:shd w:fill="E8EEF5"/>
            <w:tcMar>
              <w:top w:w="80" w:type="dxa"/>
              <w:start w:w="120" w:type="dxa"/>
              <w:bottom w:w="80" w:type="dxa"/>
              <w:end w:w="120" w:type="dxa"/>
            </w:tcMar>
            <w:vAlign w:val="center"/>
          </w:tcPr>
          <w:p>
            <w:pPr>
              <w:spacing w:before="0" w:after="0" w:line="240" w:lineRule="auto"/>
              <w:jc w:val="center"/>
            </w:pPr>
            <w:r>
              <w:rPr>
                <w:rFonts w:ascii="Calibri" w:hAnsi="Calibri"/>
                <w:b/>
                <w:color w:val="18324A"/>
                <w:sz w:val="16"/>
              </w:rPr>
              <w:t>Kouzelník</w:t>
            </w:r>
          </w:p>
        </w:tc>
        <w:tc>
          <w:tcPr>
            <w:tcW w:type="dxa" w:w="1410"/>
            <w:shd w:fill="E8EEF5"/>
            <w:tcMar>
              <w:top w:w="80" w:type="dxa"/>
              <w:start w:w="120" w:type="dxa"/>
              <w:bottom w:w="80" w:type="dxa"/>
              <w:end w:w="120" w:type="dxa"/>
            </w:tcMar>
            <w:vAlign w:val="center"/>
          </w:tcPr>
          <w:p>
            <w:pPr>
              <w:spacing w:before="0" w:after="0" w:line="240" w:lineRule="auto"/>
              <w:jc w:val="center"/>
            </w:pPr>
            <w:r>
              <w:rPr>
                <w:rFonts w:ascii="Calibri" w:hAnsi="Calibri"/>
                <w:b/>
                <w:color w:val="18324A"/>
                <w:sz w:val="16"/>
              </w:rPr>
              <w:t>Hraničář</w:t>
            </w:r>
          </w:p>
        </w:tc>
        <w:tc>
          <w:tcPr>
            <w:tcW w:type="dxa" w:w="1410"/>
            <w:shd w:fill="E8EEF5"/>
            <w:tcMar>
              <w:top w:w="80" w:type="dxa"/>
              <w:start w:w="120" w:type="dxa"/>
              <w:bottom w:w="80" w:type="dxa"/>
              <w:end w:w="120" w:type="dxa"/>
            </w:tcMar>
            <w:vAlign w:val="center"/>
          </w:tcPr>
          <w:p>
            <w:pPr>
              <w:spacing w:before="0" w:after="0" w:line="240" w:lineRule="auto"/>
              <w:jc w:val="center"/>
            </w:pPr>
            <w:r>
              <w:rPr>
                <w:rFonts w:ascii="Calibri" w:hAnsi="Calibri"/>
                <w:b/>
                <w:color w:val="18324A"/>
                <w:sz w:val="16"/>
              </w:rPr>
              <w:t>Léčitel</w:t>
            </w:r>
          </w:p>
        </w:tc>
        <w:tc>
          <w:tcPr>
            <w:tcW w:type="dxa" w:w="1410"/>
            <w:shd w:fill="E8EEF5"/>
            <w:tcMar>
              <w:top w:w="80" w:type="dxa"/>
              <w:start w:w="120" w:type="dxa"/>
              <w:bottom w:w="80" w:type="dxa"/>
              <w:end w:w="120" w:type="dxa"/>
            </w:tcMar>
            <w:vAlign w:val="center"/>
          </w:tcPr>
          <w:p>
            <w:pPr>
              <w:spacing w:before="0" w:after="0" w:line="240" w:lineRule="auto"/>
              <w:jc w:val="center"/>
            </w:pPr>
            <w:r>
              <w:rPr>
                <w:rFonts w:ascii="Calibri" w:hAnsi="Calibri"/>
                <w:b/>
                <w:color w:val="18324A"/>
                <w:sz w:val="16"/>
              </w:rPr>
              <w:t>Zloděj</w:t>
            </w:r>
          </w:p>
        </w:tc>
        <w:tc>
          <w:tcPr>
            <w:tcW w:type="dxa" w:w="1410"/>
            <w:shd w:fill="E8EEF5"/>
            <w:tcMar>
              <w:top w:w="80" w:type="dxa"/>
              <w:start w:w="120" w:type="dxa"/>
              <w:bottom w:w="80" w:type="dxa"/>
              <w:end w:w="120" w:type="dxa"/>
            </w:tcMar>
            <w:vAlign w:val="center"/>
          </w:tcPr>
          <w:p>
            <w:pPr>
              <w:spacing w:before="0" w:after="0" w:line="240" w:lineRule="auto"/>
              <w:jc w:val="center"/>
            </w:pPr>
            <w:r>
              <w:rPr>
                <w:rFonts w:ascii="Calibri" w:hAnsi="Calibri"/>
                <w:b/>
                <w:color w:val="18324A"/>
                <w:sz w:val="16"/>
              </w:rPr>
              <w:t>Bard</w:t>
            </w:r>
          </w:p>
        </w:tc>
        <w:tc>
          <w:tcPr>
            <w:tcW w:type="dxa" w:w="1410"/>
            <w:shd w:fill="E8EEF5"/>
            <w:tcMar>
              <w:top w:w="80" w:type="dxa"/>
              <w:start w:w="120" w:type="dxa"/>
              <w:bottom w:w="80" w:type="dxa"/>
              <w:end w:w="120" w:type="dxa"/>
            </w:tcMar>
            <w:vAlign w:val="center"/>
          </w:tcPr>
          <w:p>
            <w:pPr>
              <w:spacing w:before="0" w:after="0" w:line="240" w:lineRule="auto"/>
              <w:jc w:val="center"/>
            </w:pPr>
            <w:r>
              <w:rPr>
                <w:rFonts w:ascii="Calibri" w:hAnsi="Calibri"/>
                <w:b/>
                <w:color w:val="18324A"/>
                <w:sz w:val="16"/>
              </w:rPr>
              <w:t>Bojovník</w:t>
            </w:r>
          </w:p>
        </w:tc>
      </w:tr>
      <w:tr>
        <w:trPr>
          <w:cantSplit/>
        </w:trPr>
        <w:tc>
          <w:tcPr>
            <w:tcW w:type="dxa" w:w="900"/>
            <w:tcMar>
              <w:top w:w="80" w:type="dxa"/>
              <w:start w:w="120" w:type="dxa"/>
              <w:bottom w:w="80" w:type="dxa"/>
              <w:end w:w="120" w:type="dxa"/>
            </w:tcMar>
            <w:vAlign w:val="center"/>
          </w:tcPr>
          <w:p>
            <w:pPr>
              <w:spacing w:before="0" w:after="0" w:line="252" w:lineRule="auto"/>
              <w:jc w:val="center"/>
            </w:pPr>
            <w:r>
              <w:rPr>
                <w:rFonts w:ascii="Calibri" w:hAnsi="Calibri"/>
                <w:color w:val="000000"/>
                <w:sz w:val="17"/>
              </w:rPr>
              <w:t>+0</w:t>
            </w:r>
          </w:p>
        </w:tc>
        <w:tc>
          <w:tcPr>
            <w:tcW w:type="dxa" w:w="1410"/>
            <w:tcMar>
              <w:top w:w="80" w:type="dxa"/>
              <w:start w:w="120" w:type="dxa"/>
              <w:bottom w:w="80" w:type="dxa"/>
              <w:end w:w="120" w:type="dxa"/>
            </w:tcMar>
            <w:vAlign w:val="center"/>
          </w:tcPr>
          <w:p>
            <w:pPr>
              <w:spacing w:before="0" w:after="0" w:line="252" w:lineRule="auto"/>
              <w:jc w:val="center"/>
            </w:pPr>
            <w:r>
              <w:rPr>
                <w:rFonts w:ascii="Calibri" w:hAnsi="Calibri"/>
                <w:color w:val="000000"/>
                <w:sz w:val="17"/>
              </w:rPr>
              <w:t>+0</w:t>
            </w:r>
          </w:p>
        </w:tc>
        <w:tc>
          <w:tcPr>
            <w:tcW w:type="dxa" w:w="1410"/>
            <w:tcMar>
              <w:top w:w="80" w:type="dxa"/>
              <w:start w:w="120" w:type="dxa"/>
              <w:bottom w:w="80" w:type="dxa"/>
              <w:end w:w="120" w:type="dxa"/>
            </w:tcMar>
            <w:vAlign w:val="center"/>
          </w:tcPr>
          <w:p>
            <w:pPr>
              <w:spacing w:before="0" w:after="0" w:line="252" w:lineRule="auto"/>
              <w:jc w:val="center"/>
            </w:pPr>
            <w:r>
              <w:rPr>
                <w:rFonts w:ascii="Calibri" w:hAnsi="Calibri"/>
                <w:color w:val="000000"/>
                <w:sz w:val="17"/>
              </w:rPr>
              <w:t>+0</w:t>
            </w:r>
          </w:p>
        </w:tc>
        <w:tc>
          <w:tcPr>
            <w:tcW w:type="dxa" w:w="1410"/>
            <w:tcMar>
              <w:top w:w="80" w:type="dxa"/>
              <w:start w:w="120" w:type="dxa"/>
              <w:bottom w:w="80" w:type="dxa"/>
              <w:end w:w="120" w:type="dxa"/>
            </w:tcMar>
            <w:vAlign w:val="center"/>
          </w:tcPr>
          <w:p>
            <w:pPr>
              <w:spacing w:before="0" w:after="0" w:line="252" w:lineRule="auto"/>
              <w:jc w:val="center"/>
            </w:pPr>
            <w:r>
              <w:rPr>
                <w:rFonts w:ascii="Calibri" w:hAnsi="Calibri"/>
                <w:color w:val="000000"/>
                <w:sz w:val="17"/>
              </w:rPr>
              <w:t>+0</w:t>
            </w:r>
          </w:p>
        </w:tc>
        <w:tc>
          <w:tcPr>
            <w:tcW w:type="dxa" w:w="1410"/>
            <w:tcMar>
              <w:top w:w="80" w:type="dxa"/>
              <w:start w:w="120" w:type="dxa"/>
              <w:bottom w:w="80" w:type="dxa"/>
              <w:end w:w="120" w:type="dxa"/>
            </w:tcMar>
            <w:vAlign w:val="center"/>
          </w:tcPr>
          <w:p>
            <w:pPr>
              <w:spacing w:before="0" w:after="0" w:line="252" w:lineRule="auto"/>
              <w:jc w:val="center"/>
            </w:pPr>
            <w:r>
              <w:rPr>
                <w:rFonts w:ascii="Calibri" w:hAnsi="Calibri"/>
                <w:color w:val="000000"/>
                <w:sz w:val="17"/>
              </w:rPr>
              <w:t>+0</w:t>
            </w:r>
          </w:p>
        </w:tc>
        <w:tc>
          <w:tcPr>
            <w:tcW w:type="dxa" w:w="1410"/>
            <w:tcMar>
              <w:top w:w="80" w:type="dxa"/>
              <w:start w:w="120" w:type="dxa"/>
              <w:bottom w:w="80" w:type="dxa"/>
              <w:end w:w="120" w:type="dxa"/>
            </w:tcMar>
            <w:vAlign w:val="center"/>
          </w:tcPr>
          <w:p>
            <w:pPr>
              <w:spacing w:before="0" w:after="0" w:line="252" w:lineRule="auto"/>
              <w:jc w:val="center"/>
            </w:pPr>
            <w:r>
              <w:rPr>
                <w:rFonts w:ascii="Calibri" w:hAnsi="Calibri"/>
                <w:color w:val="000000"/>
                <w:sz w:val="17"/>
              </w:rPr>
              <w:t>+0</w:t>
            </w:r>
          </w:p>
        </w:tc>
        <w:tc>
          <w:tcPr>
            <w:tcW w:type="dxa" w:w="1410"/>
            <w:tcMar>
              <w:top w:w="80" w:type="dxa"/>
              <w:start w:w="120" w:type="dxa"/>
              <w:bottom w:w="80" w:type="dxa"/>
              <w:end w:w="120" w:type="dxa"/>
            </w:tcMar>
            <w:vAlign w:val="center"/>
          </w:tcPr>
          <w:p>
            <w:pPr>
              <w:spacing w:before="0" w:after="0" w:line="252" w:lineRule="auto"/>
              <w:jc w:val="center"/>
            </w:pPr>
            <w:r>
              <w:rPr>
                <w:rFonts w:ascii="Calibri" w:hAnsi="Calibri"/>
                <w:color w:val="000000"/>
                <w:sz w:val="17"/>
              </w:rPr>
              <w:t>+0</w:t>
            </w:r>
          </w:p>
        </w:tc>
      </w:tr>
      <w:tr>
        <w:trPr>
          <w:cantSplit/>
        </w:trPr>
        <w:tc>
          <w:tcPr>
            <w:tcW w:type="dxa" w:w="900"/>
            <w:tcMar>
              <w:top w:w="80" w:type="dxa"/>
              <w:start w:w="120" w:type="dxa"/>
              <w:bottom w:w="80" w:type="dxa"/>
              <w:end w:w="120" w:type="dxa"/>
            </w:tcMar>
            <w:vAlign w:val="center"/>
          </w:tcPr>
          <w:p>
            <w:pPr>
              <w:spacing w:before="0" w:after="0" w:line="252" w:lineRule="auto"/>
              <w:jc w:val="center"/>
            </w:pPr>
            <w:r>
              <w:rPr>
                <w:rFonts w:ascii="Calibri" w:hAnsi="Calibri"/>
                <w:color w:val="000000"/>
                <w:sz w:val="17"/>
              </w:rPr>
              <w:t>+1</w:t>
            </w:r>
          </w:p>
        </w:tc>
        <w:tc>
          <w:tcPr>
            <w:tcW w:type="dxa" w:w="1410"/>
            <w:tcMar>
              <w:top w:w="80" w:type="dxa"/>
              <w:start w:w="120" w:type="dxa"/>
              <w:bottom w:w="80" w:type="dxa"/>
              <w:end w:w="120" w:type="dxa"/>
            </w:tcMar>
            <w:vAlign w:val="center"/>
          </w:tcPr>
          <w:p>
            <w:pPr>
              <w:spacing w:before="0" w:after="0" w:line="252" w:lineRule="auto"/>
              <w:jc w:val="center"/>
            </w:pPr>
            <w:r>
              <w:rPr>
                <w:rFonts w:ascii="Calibri" w:hAnsi="Calibri"/>
                <w:color w:val="000000"/>
                <w:sz w:val="17"/>
              </w:rPr>
              <w:t>+1</w:t>
            </w:r>
          </w:p>
        </w:tc>
        <w:tc>
          <w:tcPr>
            <w:tcW w:type="dxa" w:w="1410"/>
            <w:tcMar>
              <w:top w:w="80" w:type="dxa"/>
              <w:start w:w="120" w:type="dxa"/>
              <w:bottom w:w="80" w:type="dxa"/>
              <w:end w:w="120" w:type="dxa"/>
            </w:tcMar>
            <w:vAlign w:val="center"/>
          </w:tcPr>
          <w:p>
            <w:pPr>
              <w:spacing w:before="0" w:after="0" w:line="252" w:lineRule="auto"/>
              <w:jc w:val="center"/>
            </w:pPr>
            <w:r>
              <w:rPr>
                <w:rFonts w:ascii="Calibri" w:hAnsi="Calibri"/>
                <w:color w:val="000000"/>
                <w:sz w:val="17"/>
              </w:rPr>
              <w:t>+1</w:t>
            </w:r>
          </w:p>
        </w:tc>
        <w:tc>
          <w:tcPr>
            <w:tcW w:type="dxa" w:w="1410"/>
            <w:tcMar>
              <w:top w:w="80" w:type="dxa"/>
              <w:start w:w="120" w:type="dxa"/>
              <w:bottom w:w="80" w:type="dxa"/>
              <w:end w:w="120" w:type="dxa"/>
            </w:tcMar>
            <w:vAlign w:val="center"/>
          </w:tcPr>
          <w:p>
            <w:pPr>
              <w:spacing w:before="0" w:after="0" w:line="252" w:lineRule="auto"/>
              <w:jc w:val="center"/>
            </w:pPr>
            <w:r>
              <w:rPr>
                <w:rFonts w:ascii="Calibri" w:hAnsi="Calibri"/>
                <w:color w:val="000000"/>
                <w:sz w:val="17"/>
              </w:rPr>
              <w:t>+1</w:t>
            </w:r>
          </w:p>
        </w:tc>
        <w:tc>
          <w:tcPr>
            <w:tcW w:type="dxa" w:w="1410"/>
            <w:tcMar>
              <w:top w:w="80" w:type="dxa"/>
              <w:start w:w="120" w:type="dxa"/>
              <w:bottom w:w="80" w:type="dxa"/>
              <w:end w:w="120" w:type="dxa"/>
            </w:tcMar>
            <w:vAlign w:val="center"/>
          </w:tcPr>
          <w:p>
            <w:pPr>
              <w:spacing w:before="0" w:after="0" w:line="252" w:lineRule="auto"/>
              <w:jc w:val="center"/>
            </w:pPr>
            <w:r>
              <w:rPr>
                <w:rFonts w:ascii="Calibri" w:hAnsi="Calibri"/>
                <w:color w:val="000000"/>
                <w:sz w:val="17"/>
              </w:rPr>
              <w:t>+1</w:t>
            </w:r>
          </w:p>
        </w:tc>
        <w:tc>
          <w:tcPr>
            <w:tcW w:type="dxa" w:w="1410"/>
            <w:tcMar>
              <w:top w:w="80" w:type="dxa"/>
              <w:start w:w="120" w:type="dxa"/>
              <w:bottom w:w="80" w:type="dxa"/>
              <w:end w:w="120" w:type="dxa"/>
            </w:tcMar>
            <w:vAlign w:val="center"/>
          </w:tcPr>
          <w:p>
            <w:pPr>
              <w:spacing w:before="0" w:after="0" w:line="252" w:lineRule="auto"/>
              <w:jc w:val="center"/>
            </w:pPr>
            <w:r>
              <w:rPr>
                <w:rFonts w:ascii="Calibri" w:hAnsi="Calibri"/>
                <w:color w:val="000000"/>
                <w:sz w:val="17"/>
              </w:rPr>
              <w:t>+1</w:t>
            </w:r>
          </w:p>
        </w:tc>
        <w:tc>
          <w:tcPr>
            <w:tcW w:type="dxa" w:w="1410"/>
            <w:tcMar>
              <w:top w:w="80" w:type="dxa"/>
              <w:start w:w="120" w:type="dxa"/>
              <w:bottom w:w="80" w:type="dxa"/>
              <w:end w:w="120" w:type="dxa"/>
            </w:tcMar>
            <w:vAlign w:val="center"/>
          </w:tcPr>
          <w:p>
            <w:pPr>
              <w:spacing w:before="0" w:after="0" w:line="252" w:lineRule="auto"/>
              <w:jc w:val="center"/>
            </w:pPr>
            <w:r>
              <w:rPr>
                <w:rFonts w:ascii="Calibri" w:hAnsi="Calibri"/>
                <w:color w:val="000000"/>
                <w:sz w:val="17"/>
              </w:rPr>
              <w:t>+0</w:t>
            </w:r>
          </w:p>
        </w:tc>
      </w:tr>
      <w:tr>
        <w:trPr>
          <w:cantSplit/>
        </w:trPr>
        <w:tc>
          <w:tcPr>
            <w:tcW w:type="dxa" w:w="900"/>
            <w:tcMar>
              <w:top w:w="80" w:type="dxa"/>
              <w:start w:w="120" w:type="dxa"/>
              <w:bottom w:w="80" w:type="dxa"/>
              <w:end w:w="120" w:type="dxa"/>
            </w:tcMar>
            <w:vAlign w:val="center"/>
          </w:tcPr>
          <w:p>
            <w:pPr>
              <w:spacing w:before="0" w:after="0" w:line="252" w:lineRule="auto"/>
              <w:jc w:val="center"/>
            </w:pPr>
            <w:r>
              <w:rPr>
                <w:rFonts w:ascii="Calibri" w:hAnsi="Calibri"/>
                <w:color w:val="000000"/>
                <w:sz w:val="17"/>
              </w:rPr>
              <w:t>+2</w:t>
            </w:r>
          </w:p>
        </w:tc>
        <w:tc>
          <w:tcPr>
            <w:tcW w:type="dxa" w:w="1410"/>
            <w:tcMar>
              <w:top w:w="80" w:type="dxa"/>
              <w:start w:w="120" w:type="dxa"/>
              <w:bottom w:w="80" w:type="dxa"/>
              <w:end w:w="120" w:type="dxa"/>
            </w:tcMar>
            <w:vAlign w:val="center"/>
          </w:tcPr>
          <w:p>
            <w:pPr>
              <w:spacing w:before="0" w:after="0" w:line="252" w:lineRule="auto"/>
              <w:jc w:val="center"/>
            </w:pPr>
            <w:r>
              <w:rPr>
                <w:rFonts w:ascii="Calibri" w:hAnsi="Calibri"/>
                <w:color w:val="000000"/>
                <w:sz w:val="17"/>
              </w:rPr>
              <w:t>+2</w:t>
            </w:r>
          </w:p>
        </w:tc>
        <w:tc>
          <w:tcPr>
            <w:tcW w:type="dxa" w:w="1410"/>
            <w:tcMar>
              <w:top w:w="80" w:type="dxa"/>
              <w:start w:w="120" w:type="dxa"/>
              <w:bottom w:w="80" w:type="dxa"/>
              <w:end w:w="120" w:type="dxa"/>
            </w:tcMar>
            <w:vAlign w:val="center"/>
          </w:tcPr>
          <w:p>
            <w:pPr>
              <w:spacing w:before="0" w:after="0" w:line="252" w:lineRule="auto"/>
              <w:jc w:val="center"/>
            </w:pPr>
            <w:r>
              <w:rPr>
                <w:rFonts w:ascii="Calibri" w:hAnsi="Calibri"/>
                <w:color w:val="000000"/>
                <w:sz w:val="17"/>
              </w:rPr>
              <w:t>+2</w:t>
            </w:r>
          </w:p>
        </w:tc>
        <w:tc>
          <w:tcPr>
            <w:tcW w:type="dxa" w:w="1410"/>
            <w:tcMar>
              <w:top w:w="80" w:type="dxa"/>
              <w:start w:w="120" w:type="dxa"/>
              <w:bottom w:w="80" w:type="dxa"/>
              <w:end w:w="120" w:type="dxa"/>
            </w:tcMar>
            <w:vAlign w:val="center"/>
          </w:tcPr>
          <w:p>
            <w:pPr>
              <w:spacing w:before="0" w:after="0" w:line="252" w:lineRule="auto"/>
              <w:jc w:val="center"/>
            </w:pPr>
            <w:r>
              <w:rPr>
                <w:rFonts w:ascii="Calibri" w:hAnsi="Calibri"/>
                <w:color w:val="000000"/>
                <w:sz w:val="17"/>
              </w:rPr>
              <w:t>+2</w:t>
            </w:r>
          </w:p>
        </w:tc>
        <w:tc>
          <w:tcPr>
            <w:tcW w:type="dxa" w:w="1410"/>
            <w:tcMar>
              <w:top w:w="80" w:type="dxa"/>
              <w:start w:w="120" w:type="dxa"/>
              <w:bottom w:w="80" w:type="dxa"/>
              <w:end w:w="120" w:type="dxa"/>
            </w:tcMar>
            <w:vAlign w:val="center"/>
          </w:tcPr>
          <w:p>
            <w:pPr>
              <w:spacing w:before="0" w:after="0" w:line="252" w:lineRule="auto"/>
              <w:jc w:val="center"/>
            </w:pPr>
            <w:r>
              <w:rPr>
                <w:rFonts w:ascii="Calibri" w:hAnsi="Calibri"/>
                <w:color w:val="000000"/>
                <w:sz w:val="17"/>
              </w:rPr>
              <w:t>+1</w:t>
            </w:r>
          </w:p>
        </w:tc>
        <w:tc>
          <w:tcPr>
            <w:tcW w:type="dxa" w:w="1410"/>
            <w:tcMar>
              <w:top w:w="80" w:type="dxa"/>
              <w:start w:w="120" w:type="dxa"/>
              <w:bottom w:w="80" w:type="dxa"/>
              <w:end w:w="120" w:type="dxa"/>
            </w:tcMar>
            <w:vAlign w:val="center"/>
          </w:tcPr>
          <w:p>
            <w:pPr>
              <w:spacing w:before="0" w:after="0" w:line="252" w:lineRule="auto"/>
              <w:jc w:val="center"/>
            </w:pPr>
            <w:r>
              <w:rPr>
                <w:rFonts w:ascii="Calibri" w:hAnsi="Calibri"/>
                <w:color w:val="000000"/>
                <w:sz w:val="17"/>
              </w:rPr>
              <w:t>+1</w:t>
            </w:r>
          </w:p>
        </w:tc>
        <w:tc>
          <w:tcPr>
            <w:tcW w:type="dxa" w:w="1410"/>
            <w:tcMar>
              <w:top w:w="80" w:type="dxa"/>
              <w:start w:w="120" w:type="dxa"/>
              <w:bottom w:w="80" w:type="dxa"/>
              <w:end w:w="120" w:type="dxa"/>
            </w:tcMar>
            <w:vAlign w:val="center"/>
          </w:tcPr>
          <w:p>
            <w:pPr>
              <w:spacing w:before="0" w:after="0" w:line="252" w:lineRule="auto"/>
              <w:jc w:val="center"/>
            </w:pPr>
            <w:r>
              <w:rPr>
                <w:rFonts w:ascii="Calibri" w:hAnsi="Calibri"/>
                <w:color w:val="000000"/>
                <w:sz w:val="17"/>
              </w:rPr>
              <w:t>+1</w:t>
            </w:r>
          </w:p>
        </w:tc>
      </w:tr>
      <w:tr>
        <w:trPr>
          <w:cantSplit/>
        </w:trPr>
        <w:tc>
          <w:tcPr>
            <w:tcW w:type="dxa" w:w="900"/>
            <w:tcMar>
              <w:top w:w="80" w:type="dxa"/>
              <w:start w:w="120" w:type="dxa"/>
              <w:bottom w:w="80" w:type="dxa"/>
              <w:end w:w="120" w:type="dxa"/>
            </w:tcMar>
            <w:vAlign w:val="center"/>
          </w:tcPr>
          <w:p>
            <w:pPr>
              <w:spacing w:before="0" w:after="0" w:line="252" w:lineRule="auto"/>
              <w:jc w:val="center"/>
            </w:pPr>
            <w:r>
              <w:rPr>
                <w:rFonts w:ascii="Calibri" w:hAnsi="Calibri"/>
                <w:color w:val="000000"/>
                <w:sz w:val="17"/>
              </w:rPr>
              <w:t>+3</w:t>
            </w:r>
          </w:p>
        </w:tc>
        <w:tc>
          <w:tcPr>
            <w:tcW w:type="dxa" w:w="1410"/>
            <w:tcMar>
              <w:top w:w="80" w:type="dxa"/>
              <w:start w:w="120" w:type="dxa"/>
              <w:bottom w:w="80" w:type="dxa"/>
              <w:end w:w="120" w:type="dxa"/>
            </w:tcMar>
            <w:vAlign w:val="center"/>
          </w:tcPr>
          <w:p>
            <w:pPr>
              <w:spacing w:before="0" w:after="0" w:line="252" w:lineRule="auto"/>
              <w:jc w:val="center"/>
            </w:pPr>
            <w:r>
              <w:rPr>
                <w:rFonts w:ascii="Calibri" w:hAnsi="Calibri"/>
                <w:color w:val="000000"/>
                <w:sz w:val="17"/>
              </w:rPr>
              <w:t>+3</w:t>
            </w:r>
          </w:p>
        </w:tc>
        <w:tc>
          <w:tcPr>
            <w:tcW w:type="dxa" w:w="1410"/>
            <w:tcMar>
              <w:top w:w="80" w:type="dxa"/>
              <w:start w:w="120" w:type="dxa"/>
              <w:bottom w:w="80" w:type="dxa"/>
              <w:end w:w="120" w:type="dxa"/>
            </w:tcMar>
            <w:vAlign w:val="center"/>
          </w:tcPr>
          <w:p>
            <w:pPr>
              <w:spacing w:before="0" w:after="0" w:line="252" w:lineRule="auto"/>
              <w:jc w:val="center"/>
            </w:pPr>
            <w:r>
              <w:rPr>
                <w:rFonts w:ascii="Calibri" w:hAnsi="Calibri"/>
                <w:color w:val="000000"/>
                <w:sz w:val="17"/>
              </w:rPr>
              <w:t>+2</w:t>
            </w:r>
          </w:p>
        </w:tc>
        <w:tc>
          <w:tcPr>
            <w:tcW w:type="dxa" w:w="1410"/>
            <w:tcMar>
              <w:top w:w="80" w:type="dxa"/>
              <w:start w:w="120" w:type="dxa"/>
              <w:bottom w:w="80" w:type="dxa"/>
              <w:end w:w="120" w:type="dxa"/>
            </w:tcMar>
            <w:vAlign w:val="center"/>
          </w:tcPr>
          <w:p>
            <w:pPr>
              <w:spacing w:before="0" w:after="0" w:line="252" w:lineRule="auto"/>
              <w:jc w:val="center"/>
            </w:pPr>
            <w:r>
              <w:rPr>
                <w:rFonts w:ascii="Calibri" w:hAnsi="Calibri"/>
                <w:color w:val="000000"/>
                <w:sz w:val="17"/>
              </w:rPr>
              <w:t>+2</w:t>
            </w:r>
          </w:p>
        </w:tc>
        <w:tc>
          <w:tcPr>
            <w:tcW w:type="dxa" w:w="1410"/>
            <w:tcMar>
              <w:top w:w="80" w:type="dxa"/>
              <w:start w:w="120" w:type="dxa"/>
              <w:bottom w:w="80" w:type="dxa"/>
              <w:end w:w="120" w:type="dxa"/>
            </w:tcMar>
            <w:vAlign w:val="center"/>
          </w:tcPr>
          <w:p>
            <w:pPr>
              <w:spacing w:before="0" w:after="0" w:line="252" w:lineRule="auto"/>
              <w:jc w:val="center"/>
            </w:pPr>
            <w:r>
              <w:rPr>
                <w:rFonts w:ascii="Calibri" w:hAnsi="Calibri"/>
                <w:color w:val="000000"/>
                <w:sz w:val="17"/>
              </w:rPr>
              <w:t>+2</w:t>
            </w:r>
          </w:p>
        </w:tc>
        <w:tc>
          <w:tcPr>
            <w:tcW w:type="dxa" w:w="1410"/>
            <w:tcMar>
              <w:top w:w="80" w:type="dxa"/>
              <w:start w:w="120" w:type="dxa"/>
              <w:bottom w:w="80" w:type="dxa"/>
              <w:end w:w="120" w:type="dxa"/>
            </w:tcMar>
            <w:vAlign w:val="center"/>
          </w:tcPr>
          <w:p>
            <w:pPr>
              <w:spacing w:before="0" w:after="0" w:line="252" w:lineRule="auto"/>
              <w:jc w:val="center"/>
            </w:pPr>
            <w:r>
              <w:rPr>
                <w:rFonts w:ascii="Calibri" w:hAnsi="Calibri"/>
                <w:color w:val="000000"/>
                <w:sz w:val="17"/>
              </w:rPr>
              <w:t>+2</w:t>
            </w:r>
          </w:p>
        </w:tc>
        <w:tc>
          <w:tcPr>
            <w:tcW w:type="dxa" w:w="1410"/>
            <w:tcMar>
              <w:top w:w="80" w:type="dxa"/>
              <w:start w:w="120" w:type="dxa"/>
              <w:bottom w:w="80" w:type="dxa"/>
              <w:end w:w="120" w:type="dxa"/>
            </w:tcMar>
            <w:vAlign w:val="center"/>
          </w:tcPr>
          <w:p>
            <w:pPr>
              <w:spacing w:before="0" w:after="0" w:line="252" w:lineRule="auto"/>
              <w:jc w:val="center"/>
            </w:pPr>
            <w:r>
              <w:rPr>
                <w:rFonts w:ascii="Calibri" w:hAnsi="Calibri"/>
                <w:color w:val="000000"/>
                <w:sz w:val="17"/>
              </w:rPr>
              <w:t>+1</w:t>
            </w:r>
          </w:p>
        </w:tc>
      </w:tr>
      <w:tr>
        <w:trPr>
          <w:cantSplit/>
        </w:trPr>
        <w:tc>
          <w:tcPr>
            <w:tcW w:type="dxa" w:w="900"/>
            <w:tcMar>
              <w:top w:w="80" w:type="dxa"/>
              <w:start w:w="120" w:type="dxa"/>
              <w:bottom w:w="80" w:type="dxa"/>
              <w:end w:w="120" w:type="dxa"/>
            </w:tcMar>
            <w:vAlign w:val="center"/>
          </w:tcPr>
          <w:p>
            <w:pPr>
              <w:spacing w:before="0" w:after="0" w:line="252" w:lineRule="auto"/>
              <w:jc w:val="center"/>
            </w:pPr>
            <w:r>
              <w:rPr>
                <w:rFonts w:ascii="Calibri" w:hAnsi="Calibri"/>
                <w:color w:val="000000"/>
                <w:sz w:val="17"/>
              </w:rPr>
              <w:t>+4</w:t>
            </w:r>
          </w:p>
        </w:tc>
        <w:tc>
          <w:tcPr>
            <w:tcW w:type="dxa" w:w="1410"/>
            <w:tcMar>
              <w:top w:w="80" w:type="dxa"/>
              <w:start w:w="120" w:type="dxa"/>
              <w:bottom w:w="80" w:type="dxa"/>
              <w:end w:w="120" w:type="dxa"/>
            </w:tcMar>
            <w:vAlign w:val="center"/>
          </w:tcPr>
          <w:p>
            <w:pPr>
              <w:spacing w:before="0" w:after="0" w:line="252" w:lineRule="auto"/>
              <w:jc w:val="center"/>
            </w:pPr>
            <w:r>
              <w:rPr>
                <w:rFonts w:ascii="Calibri" w:hAnsi="Calibri"/>
                <w:color w:val="000000"/>
                <w:sz w:val="17"/>
              </w:rPr>
              <w:t>+4</w:t>
            </w:r>
          </w:p>
        </w:tc>
        <w:tc>
          <w:tcPr>
            <w:tcW w:type="dxa" w:w="1410"/>
            <w:tcMar>
              <w:top w:w="80" w:type="dxa"/>
              <w:start w:w="120" w:type="dxa"/>
              <w:bottom w:w="80" w:type="dxa"/>
              <w:end w:w="120" w:type="dxa"/>
            </w:tcMar>
            <w:vAlign w:val="center"/>
          </w:tcPr>
          <w:p>
            <w:pPr>
              <w:spacing w:before="0" w:after="0" w:line="252" w:lineRule="auto"/>
              <w:jc w:val="center"/>
            </w:pPr>
            <w:r>
              <w:rPr>
                <w:rFonts w:ascii="Calibri" w:hAnsi="Calibri"/>
                <w:color w:val="000000"/>
                <w:sz w:val="17"/>
              </w:rPr>
              <w:t>+3</w:t>
            </w:r>
          </w:p>
        </w:tc>
        <w:tc>
          <w:tcPr>
            <w:tcW w:type="dxa" w:w="1410"/>
            <w:tcMar>
              <w:top w:w="80" w:type="dxa"/>
              <w:start w:w="120" w:type="dxa"/>
              <w:bottom w:w="80" w:type="dxa"/>
              <w:end w:w="120" w:type="dxa"/>
            </w:tcMar>
            <w:vAlign w:val="center"/>
          </w:tcPr>
          <w:p>
            <w:pPr>
              <w:spacing w:before="0" w:after="0" w:line="252" w:lineRule="auto"/>
              <w:jc w:val="center"/>
            </w:pPr>
            <w:r>
              <w:rPr>
                <w:rFonts w:ascii="Calibri" w:hAnsi="Calibri"/>
                <w:color w:val="000000"/>
                <w:sz w:val="17"/>
              </w:rPr>
              <w:t>+3</w:t>
            </w:r>
          </w:p>
        </w:tc>
        <w:tc>
          <w:tcPr>
            <w:tcW w:type="dxa" w:w="1410"/>
            <w:tcMar>
              <w:top w:w="80" w:type="dxa"/>
              <w:start w:w="120" w:type="dxa"/>
              <w:bottom w:w="80" w:type="dxa"/>
              <w:end w:w="120" w:type="dxa"/>
            </w:tcMar>
            <w:vAlign w:val="center"/>
          </w:tcPr>
          <w:p>
            <w:pPr>
              <w:spacing w:before="0" w:after="0" w:line="252" w:lineRule="auto"/>
              <w:jc w:val="center"/>
            </w:pPr>
            <w:r>
              <w:rPr>
                <w:rFonts w:ascii="Calibri" w:hAnsi="Calibri"/>
                <w:color w:val="000000"/>
                <w:sz w:val="17"/>
              </w:rPr>
              <w:t>+2</w:t>
            </w:r>
          </w:p>
        </w:tc>
        <w:tc>
          <w:tcPr>
            <w:tcW w:type="dxa" w:w="1410"/>
            <w:tcMar>
              <w:top w:w="80" w:type="dxa"/>
              <w:start w:w="120" w:type="dxa"/>
              <w:bottom w:w="80" w:type="dxa"/>
              <w:end w:w="120" w:type="dxa"/>
            </w:tcMar>
            <w:vAlign w:val="center"/>
          </w:tcPr>
          <w:p>
            <w:pPr>
              <w:spacing w:before="0" w:after="0" w:line="252" w:lineRule="auto"/>
              <w:jc w:val="center"/>
            </w:pPr>
            <w:r>
              <w:rPr>
                <w:rFonts w:ascii="Calibri" w:hAnsi="Calibri"/>
                <w:color w:val="000000"/>
                <w:sz w:val="17"/>
              </w:rPr>
              <w:t>+2</w:t>
            </w:r>
          </w:p>
        </w:tc>
        <w:tc>
          <w:tcPr>
            <w:tcW w:type="dxa" w:w="1410"/>
            <w:tcMar>
              <w:top w:w="80" w:type="dxa"/>
              <w:start w:w="120" w:type="dxa"/>
              <w:bottom w:w="80" w:type="dxa"/>
              <w:end w:w="120" w:type="dxa"/>
            </w:tcMar>
            <w:vAlign w:val="center"/>
          </w:tcPr>
          <w:p>
            <w:pPr>
              <w:spacing w:before="0" w:after="0" w:line="252" w:lineRule="auto"/>
              <w:jc w:val="center"/>
            </w:pPr>
            <w:r>
              <w:rPr>
                <w:rFonts w:ascii="Calibri" w:hAnsi="Calibri"/>
                <w:color w:val="000000"/>
                <w:sz w:val="17"/>
              </w:rPr>
              <w:t>+1</w:t>
            </w:r>
          </w:p>
        </w:tc>
      </w:tr>
      <w:tr>
        <w:trPr>
          <w:cantSplit/>
        </w:trPr>
        <w:tc>
          <w:tcPr>
            <w:tcW w:type="dxa" w:w="900"/>
            <w:tcMar>
              <w:top w:w="80" w:type="dxa"/>
              <w:start w:w="120" w:type="dxa"/>
              <w:bottom w:w="80" w:type="dxa"/>
              <w:end w:w="120" w:type="dxa"/>
            </w:tcMar>
            <w:vAlign w:val="center"/>
          </w:tcPr>
          <w:p>
            <w:pPr>
              <w:spacing w:before="0" w:after="0" w:line="252" w:lineRule="auto"/>
              <w:jc w:val="center"/>
            </w:pPr>
            <w:r>
              <w:rPr>
                <w:rFonts w:ascii="Calibri" w:hAnsi="Calibri"/>
                <w:color w:val="000000"/>
                <w:sz w:val="17"/>
              </w:rPr>
              <w:t>+5</w:t>
            </w:r>
          </w:p>
        </w:tc>
        <w:tc>
          <w:tcPr>
            <w:tcW w:type="dxa" w:w="1410"/>
            <w:tcMar>
              <w:top w:w="80" w:type="dxa"/>
              <w:start w:w="120" w:type="dxa"/>
              <w:bottom w:w="80" w:type="dxa"/>
              <w:end w:w="120" w:type="dxa"/>
            </w:tcMar>
            <w:vAlign w:val="center"/>
          </w:tcPr>
          <w:p>
            <w:pPr>
              <w:spacing w:before="0" w:after="0" w:line="252" w:lineRule="auto"/>
              <w:jc w:val="center"/>
            </w:pPr>
            <w:r>
              <w:rPr>
                <w:rFonts w:ascii="Calibri" w:hAnsi="Calibri"/>
                <w:color w:val="000000"/>
                <w:sz w:val="17"/>
              </w:rPr>
              <w:t>+5</w:t>
            </w:r>
          </w:p>
        </w:tc>
        <w:tc>
          <w:tcPr>
            <w:tcW w:type="dxa" w:w="1410"/>
            <w:tcMar>
              <w:top w:w="80" w:type="dxa"/>
              <w:start w:w="120" w:type="dxa"/>
              <w:bottom w:w="80" w:type="dxa"/>
              <w:end w:w="120" w:type="dxa"/>
            </w:tcMar>
            <w:vAlign w:val="center"/>
          </w:tcPr>
          <w:p>
            <w:pPr>
              <w:spacing w:before="0" w:after="0" w:line="252" w:lineRule="auto"/>
              <w:jc w:val="center"/>
            </w:pPr>
            <w:r>
              <w:rPr>
                <w:rFonts w:ascii="Calibri" w:hAnsi="Calibri"/>
                <w:color w:val="000000"/>
                <w:sz w:val="17"/>
              </w:rPr>
              <w:t>+4</w:t>
            </w:r>
          </w:p>
        </w:tc>
        <w:tc>
          <w:tcPr>
            <w:tcW w:type="dxa" w:w="1410"/>
            <w:tcMar>
              <w:top w:w="80" w:type="dxa"/>
              <w:start w:w="120" w:type="dxa"/>
              <w:bottom w:w="80" w:type="dxa"/>
              <w:end w:w="120" w:type="dxa"/>
            </w:tcMar>
            <w:vAlign w:val="center"/>
          </w:tcPr>
          <w:p>
            <w:pPr>
              <w:spacing w:before="0" w:after="0" w:line="252" w:lineRule="auto"/>
              <w:jc w:val="center"/>
            </w:pPr>
            <w:r>
              <w:rPr>
                <w:rFonts w:ascii="Calibri" w:hAnsi="Calibri"/>
                <w:color w:val="000000"/>
                <w:sz w:val="17"/>
              </w:rPr>
              <w:t>+4</w:t>
            </w:r>
          </w:p>
        </w:tc>
        <w:tc>
          <w:tcPr>
            <w:tcW w:type="dxa" w:w="1410"/>
            <w:tcMar>
              <w:top w:w="80" w:type="dxa"/>
              <w:start w:w="120" w:type="dxa"/>
              <w:bottom w:w="80" w:type="dxa"/>
              <w:end w:w="120" w:type="dxa"/>
            </w:tcMar>
            <w:vAlign w:val="center"/>
          </w:tcPr>
          <w:p>
            <w:pPr>
              <w:spacing w:before="0" w:after="0" w:line="252" w:lineRule="auto"/>
              <w:jc w:val="center"/>
            </w:pPr>
            <w:r>
              <w:rPr>
                <w:rFonts w:ascii="Calibri" w:hAnsi="Calibri"/>
                <w:color w:val="000000"/>
                <w:sz w:val="17"/>
              </w:rPr>
              <w:t>+3</w:t>
            </w:r>
          </w:p>
        </w:tc>
        <w:tc>
          <w:tcPr>
            <w:tcW w:type="dxa" w:w="1410"/>
            <w:tcMar>
              <w:top w:w="80" w:type="dxa"/>
              <w:start w:w="120" w:type="dxa"/>
              <w:bottom w:w="80" w:type="dxa"/>
              <w:end w:w="120" w:type="dxa"/>
            </w:tcMar>
            <w:vAlign w:val="center"/>
          </w:tcPr>
          <w:p>
            <w:pPr>
              <w:spacing w:before="0" w:after="0" w:line="252" w:lineRule="auto"/>
              <w:jc w:val="center"/>
            </w:pPr>
            <w:r>
              <w:rPr>
                <w:rFonts w:ascii="Calibri" w:hAnsi="Calibri"/>
                <w:color w:val="000000"/>
                <w:sz w:val="17"/>
              </w:rPr>
              <w:t>+3</w:t>
            </w:r>
          </w:p>
        </w:tc>
        <w:tc>
          <w:tcPr>
            <w:tcW w:type="dxa" w:w="1410"/>
            <w:tcMar>
              <w:top w:w="80" w:type="dxa"/>
              <w:start w:w="120" w:type="dxa"/>
              <w:bottom w:w="80" w:type="dxa"/>
              <w:end w:w="120" w:type="dxa"/>
            </w:tcMar>
            <w:vAlign w:val="center"/>
          </w:tcPr>
          <w:p>
            <w:pPr>
              <w:spacing w:before="0" w:after="0" w:line="252" w:lineRule="auto"/>
              <w:jc w:val="center"/>
            </w:pPr>
            <w:r>
              <w:rPr>
                <w:rFonts w:ascii="Calibri" w:hAnsi="Calibri"/>
                <w:color w:val="000000"/>
                <w:sz w:val="17"/>
              </w:rPr>
              <w:t>+1</w:t>
            </w:r>
          </w:p>
        </w:tc>
      </w:tr>
      <w:tr>
        <w:trPr>
          <w:cantSplit/>
        </w:trPr>
        <w:tc>
          <w:tcPr>
            <w:tcW w:type="dxa" w:w="900"/>
            <w:tcMar>
              <w:top w:w="80" w:type="dxa"/>
              <w:start w:w="120" w:type="dxa"/>
              <w:bottom w:w="80" w:type="dxa"/>
              <w:end w:w="120" w:type="dxa"/>
            </w:tcMar>
            <w:vAlign w:val="center"/>
          </w:tcPr>
          <w:p>
            <w:pPr>
              <w:spacing w:before="0" w:after="0" w:line="252" w:lineRule="auto"/>
              <w:jc w:val="center"/>
            </w:pPr>
            <w:r>
              <w:rPr>
                <w:rFonts w:ascii="Calibri" w:hAnsi="Calibri"/>
                <w:color w:val="000000"/>
                <w:sz w:val="17"/>
              </w:rPr>
              <w:t>+6</w:t>
            </w:r>
          </w:p>
        </w:tc>
        <w:tc>
          <w:tcPr>
            <w:tcW w:type="dxa" w:w="1410"/>
            <w:tcMar>
              <w:top w:w="80" w:type="dxa"/>
              <w:start w:w="120" w:type="dxa"/>
              <w:bottom w:w="80" w:type="dxa"/>
              <w:end w:w="120" w:type="dxa"/>
            </w:tcMar>
            <w:vAlign w:val="center"/>
          </w:tcPr>
          <w:p>
            <w:pPr>
              <w:spacing w:before="0" w:after="0" w:line="252" w:lineRule="auto"/>
              <w:jc w:val="center"/>
            </w:pPr>
            <w:r>
              <w:rPr>
                <w:rFonts w:ascii="Calibri" w:hAnsi="Calibri"/>
                <w:color w:val="000000"/>
                <w:sz w:val="17"/>
              </w:rPr>
              <w:t>+6</w:t>
            </w:r>
          </w:p>
        </w:tc>
        <w:tc>
          <w:tcPr>
            <w:tcW w:type="dxa" w:w="1410"/>
            <w:tcMar>
              <w:top w:w="80" w:type="dxa"/>
              <w:start w:w="120" w:type="dxa"/>
              <w:bottom w:w="80" w:type="dxa"/>
              <w:end w:w="120" w:type="dxa"/>
            </w:tcMar>
            <w:vAlign w:val="center"/>
          </w:tcPr>
          <w:p>
            <w:pPr>
              <w:spacing w:before="0" w:after="0" w:line="252" w:lineRule="auto"/>
              <w:jc w:val="center"/>
            </w:pPr>
            <w:r>
              <w:rPr>
                <w:rFonts w:ascii="Calibri" w:hAnsi="Calibri"/>
                <w:color w:val="000000"/>
                <w:sz w:val="17"/>
              </w:rPr>
              <w:t>+5</w:t>
            </w:r>
          </w:p>
        </w:tc>
        <w:tc>
          <w:tcPr>
            <w:tcW w:type="dxa" w:w="1410"/>
            <w:tcMar>
              <w:top w:w="80" w:type="dxa"/>
              <w:start w:w="120" w:type="dxa"/>
              <w:bottom w:w="80" w:type="dxa"/>
              <w:end w:w="120" w:type="dxa"/>
            </w:tcMar>
            <w:vAlign w:val="center"/>
          </w:tcPr>
          <w:p>
            <w:pPr>
              <w:spacing w:before="0" w:after="0" w:line="252" w:lineRule="auto"/>
              <w:jc w:val="center"/>
            </w:pPr>
            <w:r>
              <w:rPr>
                <w:rFonts w:ascii="Calibri" w:hAnsi="Calibri"/>
                <w:color w:val="000000"/>
                <w:sz w:val="17"/>
              </w:rPr>
              <w:t>+5</w:t>
            </w:r>
          </w:p>
        </w:tc>
        <w:tc>
          <w:tcPr>
            <w:tcW w:type="dxa" w:w="1410"/>
            <w:tcMar>
              <w:top w:w="80" w:type="dxa"/>
              <w:start w:w="120" w:type="dxa"/>
              <w:bottom w:w="80" w:type="dxa"/>
              <w:end w:w="120" w:type="dxa"/>
            </w:tcMar>
            <w:vAlign w:val="center"/>
          </w:tcPr>
          <w:p>
            <w:pPr>
              <w:spacing w:before="0" w:after="0" w:line="252" w:lineRule="auto"/>
              <w:jc w:val="center"/>
            </w:pPr>
            <w:r>
              <w:rPr>
                <w:rFonts w:ascii="Calibri" w:hAnsi="Calibri"/>
                <w:color w:val="000000"/>
                <w:sz w:val="17"/>
              </w:rPr>
              <w:t>+3</w:t>
            </w:r>
          </w:p>
        </w:tc>
        <w:tc>
          <w:tcPr>
            <w:tcW w:type="dxa" w:w="1410"/>
            <w:tcMar>
              <w:top w:w="80" w:type="dxa"/>
              <w:start w:w="120" w:type="dxa"/>
              <w:bottom w:w="80" w:type="dxa"/>
              <w:end w:w="120" w:type="dxa"/>
            </w:tcMar>
            <w:vAlign w:val="center"/>
          </w:tcPr>
          <w:p>
            <w:pPr>
              <w:spacing w:before="0" w:after="0" w:line="252" w:lineRule="auto"/>
              <w:jc w:val="center"/>
            </w:pPr>
            <w:r>
              <w:rPr>
                <w:rFonts w:ascii="Calibri" w:hAnsi="Calibri"/>
                <w:color w:val="000000"/>
                <w:sz w:val="17"/>
              </w:rPr>
              <w:t>+3</w:t>
            </w:r>
          </w:p>
        </w:tc>
        <w:tc>
          <w:tcPr>
            <w:tcW w:type="dxa" w:w="1410"/>
            <w:tcMar>
              <w:top w:w="80" w:type="dxa"/>
              <w:start w:w="120" w:type="dxa"/>
              <w:bottom w:w="80" w:type="dxa"/>
              <w:end w:w="120" w:type="dxa"/>
            </w:tcMar>
            <w:vAlign w:val="center"/>
          </w:tcPr>
          <w:p>
            <w:pPr>
              <w:spacing w:before="0" w:after="0" w:line="252" w:lineRule="auto"/>
              <w:jc w:val="center"/>
            </w:pPr>
            <w:r>
              <w:rPr>
                <w:rFonts w:ascii="Calibri" w:hAnsi="Calibri"/>
                <w:color w:val="000000"/>
                <w:sz w:val="17"/>
              </w:rPr>
              <w:t>+2</w:t>
            </w:r>
          </w:p>
        </w:tc>
      </w:tr>
    </w:tbl>
    <w:p>
      <w:pPr>
        <w:spacing w:before="100" w:after="120"/>
      </w:pPr>
      <w:r>
        <w:rPr>
          <w:rFonts w:ascii="Calibri" w:hAnsi="Calibri"/>
          <w:b/>
          <w:color w:val="1F4D78"/>
          <w:sz w:val="20"/>
        </w:rPr>
        <w:t xml:space="preserve">Kontrola: </w:t>
      </w:r>
      <w:r>
        <w:rPr>
          <w:rFonts w:ascii="Calibri" w:hAnsi="Calibri"/>
          <w:color w:val="000000"/>
          <w:sz w:val="20"/>
        </w:rPr>
        <w:t>U bonusu +1 se koeficienty 1,00 / 0,75 / 0,50 po zaokrouhlení všechny změní na +1. Rozdíl se projeví od bonusu +2 až +3; začátečnická kouzla jsou tedy záměrně podobná, zatímco silná kouzla povolání jasně rozliší.</w:t>
      </w:r>
    </w:p>
    <w:p>
      <w:pPr>
        <w:pStyle w:val="Heading2"/>
      </w:pPr>
      <w:r>
        <w:t>5.2 Přímé srovnání s fyzickými zbraněmi</w:t>
      </w:r>
    </w:p>
    <w:tbl>
      <w:tblPr>
        <w:tblW w:type="dxa" w:w="9360"/>
        <w:jc w:val="left"/>
        <w:tblLayout w:type="fixed"/>
        <w:tblLook w:firstColumn="1" w:firstRow="1" w:lastColumn="0" w:lastRow="0" w:noHBand="0" w:noVBand="1" w:val="04A0"/>
        <w:tblInd w:w="120" w:type="dxa"/>
        <w:tblBorders>
          <w:top w:val="single" w:sz="4" w:space="0" w:color="AAB7C4"/>
          <w:left w:val="single" w:sz="4" w:space="0" w:color="AAB7C4"/>
          <w:bottom w:val="single" w:sz="4" w:space="0" w:color="AAB7C4"/>
          <w:right w:val="single" w:sz="4" w:space="0" w:color="AAB7C4"/>
          <w:insideH w:val="single" w:sz="4" w:space="0" w:color="AAB7C4"/>
          <w:insideV w:val="single" w:sz="4" w:space="0" w:color="AAB7C4"/>
        </w:tblBorders>
      </w:tblPr>
      <w:tblGrid>
        <w:gridCol w:w="1800"/>
        <w:gridCol w:w="2100"/>
        <w:gridCol w:w="2100"/>
        <w:gridCol w:w="3360"/>
      </w:tblGrid>
      <w:tr>
        <w:trPr>
          <w:tblHeader w:val="true"/>
          <w:cantSplit/>
        </w:trPr>
        <w:tc>
          <w:tcPr>
            <w:tcW w:type="dxa" w:w="1800"/>
            <w:shd w:fill="E8EEF5"/>
            <w:tcMar>
              <w:top w:w="80" w:type="dxa"/>
              <w:start w:w="120" w:type="dxa"/>
              <w:bottom w:w="80" w:type="dxa"/>
              <w:end w:w="120" w:type="dxa"/>
            </w:tcMar>
            <w:vAlign w:val="center"/>
          </w:tcPr>
          <w:p>
            <w:pPr>
              <w:spacing w:before="0" w:after="0" w:line="240" w:lineRule="auto"/>
              <w:jc w:val="left"/>
            </w:pPr>
            <w:r>
              <w:rPr>
                <w:rFonts w:ascii="Calibri" w:hAnsi="Calibri"/>
                <w:b/>
                <w:color w:val="18324A"/>
                <w:sz w:val="17"/>
              </w:rPr>
              <w:t>Postava</w:t>
            </w:r>
          </w:p>
        </w:tc>
        <w:tc>
          <w:tcPr>
            <w:tcW w:type="dxa" w:w="2100"/>
            <w:shd w:fill="E8EEF5"/>
            <w:tcMar>
              <w:top w:w="80" w:type="dxa"/>
              <w:start w:w="120" w:type="dxa"/>
              <w:bottom w:w="80" w:type="dxa"/>
              <w:end w:w="120" w:type="dxa"/>
            </w:tcMar>
            <w:vAlign w:val="center"/>
          </w:tcPr>
          <w:p>
            <w:pPr>
              <w:spacing w:before="0" w:after="0" w:line="240" w:lineRule="auto"/>
              <w:jc w:val="left"/>
            </w:pPr>
            <w:r>
              <w:rPr>
                <w:rFonts w:ascii="Calibri" w:hAnsi="Calibri"/>
                <w:b/>
                <w:color w:val="18324A"/>
                <w:sz w:val="17"/>
              </w:rPr>
              <w:t>Základ</w:t>
            </w:r>
          </w:p>
        </w:tc>
        <w:tc>
          <w:tcPr>
            <w:tcW w:type="dxa" w:w="2100"/>
            <w:shd w:fill="E8EEF5"/>
            <w:tcMar>
              <w:top w:w="80" w:type="dxa"/>
              <w:start w:w="120" w:type="dxa"/>
              <w:bottom w:w="80" w:type="dxa"/>
              <w:end w:w="120" w:type="dxa"/>
            </w:tcMar>
            <w:vAlign w:val="center"/>
          </w:tcPr>
          <w:p>
            <w:pPr>
              <w:spacing w:before="0" w:after="0" w:line="240" w:lineRule="auto"/>
              <w:jc w:val="left"/>
            </w:pPr>
            <w:r>
              <w:rPr>
                <w:rFonts w:ascii="Calibri" w:hAnsi="Calibri"/>
                <w:b/>
                <w:color w:val="18324A"/>
                <w:sz w:val="17"/>
              </w:rPr>
              <w:t>Prostředek</w:t>
            </w:r>
          </w:p>
        </w:tc>
        <w:tc>
          <w:tcPr>
            <w:tcW w:type="dxa" w:w="3360"/>
            <w:shd w:fill="E8EEF5"/>
            <w:tcMar>
              <w:top w:w="80" w:type="dxa"/>
              <w:start w:w="120" w:type="dxa"/>
              <w:bottom w:w="80" w:type="dxa"/>
              <w:end w:w="120" w:type="dxa"/>
            </w:tcMar>
            <w:vAlign w:val="center"/>
          </w:tcPr>
          <w:p>
            <w:pPr>
              <w:spacing w:before="0" w:after="0" w:line="240" w:lineRule="auto"/>
              <w:jc w:val="left"/>
            </w:pPr>
            <w:r>
              <w:rPr>
                <w:rFonts w:ascii="Calibri" w:hAnsi="Calibri"/>
                <w:b/>
                <w:color w:val="18324A"/>
                <w:sz w:val="17"/>
              </w:rPr>
              <w:t>Výsledný útok</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7"/>
              </w:rPr>
              <w:t>Člověk bojovník</w:t>
            </w:r>
          </w:p>
        </w:tc>
        <w:tc>
          <w:tcPr>
            <w:tcW w:type="dxa" w:w="2100"/>
            <w:tcMar>
              <w:top w:w="80" w:type="dxa"/>
              <w:start w:w="120" w:type="dxa"/>
              <w:bottom w:w="80" w:type="dxa"/>
              <w:end w:w="120" w:type="dxa"/>
            </w:tcMar>
            <w:vAlign w:val="center"/>
          </w:tcPr>
          <w:p>
            <w:pPr>
              <w:spacing w:before="0" w:after="0" w:line="252" w:lineRule="auto"/>
              <w:jc w:val="left"/>
            </w:pPr>
            <w:r>
              <w:rPr>
                <w:rFonts w:ascii="Calibri" w:hAnsi="Calibri"/>
                <w:color w:val="000000"/>
                <w:sz w:val="17"/>
              </w:rPr>
              <w:t>S 7, BŠ 2, silný hod</w:t>
            </w:r>
          </w:p>
        </w:tc>
        <w:tc>
          <w:tcPr>
            <w:tcW w:type="dxa" w:w="2100"/>
            <w:tcMar>
              <w:top w:w="80" w:type="dxa"/>
              <w:start w:w="120" w:type="dxa"/>
              <w:bottom w:w="80" w:type="dxa"/>
              <w:end w:w="120" w:type="dxa"/>
            </w:tcMar>
            <w:vAlign w:val="center"/>
          </w:tcPr>
          <w:p>
            <w:pPr>
              <w:spacing w:before="0" w:after="0" w:line="252" w:lineRule="auto"/>
              <w:jc w:val="left"/>
            </w:pPr>
            <w:r>
              <w:rPr>
                <w:rFonts w:ascii="Calibri" w:hAnsi="Calibri"/>
                <w:color w:val="000000"/>
                <w:sz w:val="17"/>
              </w:rPr>
              <w:t>jednoruční meč +3</w:t>
            </w:r>
          </w:p>
        </w:tc>
        <w:tc>
          <w:tcPr>
            <w:tcW w:type="dxa" w:w="3360"/>
            <w:tcMar>
              <w:top w:w="80" w:type="dxa"/>
              <w:start w:w="120" w:type="dxa"/>
              <w:bottom w:w="80" w:type="dxa"/>
              <w:end w:w="120" w:type="dxa"/>
            </w:tcMar>
            <w:vAlign w:val="center"/>
          </w:tcPr>
          <w:p>
            <w:pPr>
              <w:spacing w:before="0" w:after="0" w:line="252" w:lineRule="auto"/>
              <w:jc w:val="left"/>
            </w:pPr>
            <w:r>
              <w:rPr>
                <w:rFonts w:ascii="Calibri" w:hAnsi="Calibri"/>
                <w:color w:val="000000"/>
                <w:sz w:val="17"/>
              </w:rPr>
              <w:t>7 + 3 + 2 + (1 až 6) = 13 až 18</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7"/>
              </w:rPr>
              <w:t>Člověk kouzelník</w:t>
            </w:r>
          </w:p>
        </w:tc>
        <w:tc>
          <w:tcPr>
            <w:tcW w:type="dxa" w:w="2100"/>
            <w:tcMar>
              <w:top w:w="80" w:type="dxa"/>
              <w:start w:w="120" w:type="dxa"/>
              <w:bottom w:w="80" w:type="dxa"/>
              <w:end w:w="120" w:type="dxa"/>
            </w:tcMar>
            <w:vAlign w:val="center"/>
          </w:tcPr>
          <w:p>
            <w:pPr>
              <w:spacing w:before="0" w:after="0" w:line="252" w:lineRule="auto"/>
              <w:jc w:val="left"/>
            </w:pPr>
            <w:r>
              <w:rPr>
                <w:rFonts w:ascii="Calibri" w:hAnsi="Calibri"/>
                <w:color w:val="000000"/>
                <w:sz w:val="17"/>
              </w:rPr>
              <w:t>CH 8, BŠ 2, silný hod</w:t>
            </w:r>
          </w:p>
        </w:tc>
        <w:tc>
          <w:tcPr>
            <w:tcW w:type="dxa" w:w="2100"/>
            <w:tcMar>
              <w:top w:w="80" w:type="dxa"/>
              <w:start w:w="120" w:type="dxa"/>
              <w:bottom w:w="80" w:type="dxa"/>
              <w:end w:w="120" w:type="dxa"/>
            </w:tcMar>
            <w:vAlign w:val="center"/>
          </w:tcPr>
          <w:p>
            <w:pPr>
              <w:spacing w:before="0" w:after="0" w:line="252" w:lineRule="auto"/>
              <w:jc w:val="left"/>
            </w:pPr>
            <w:r>
              <w:rPr>
                <w:rFonts w:ascii="Calibri" w:hAnsi="Calibri"/>
                <w:color w:val="000000"/>
                <w:sz w:val="17"/>
              </w:rPr>
              <w:t>Ohnivá střela +2</w:t>
            </w:r>
          </w:p>
        </w:tc>
        <w:tc>
          <w:tcPr>
            <w:tcW w:type="dxa" w:w="3360"/>
            <w:tcMar>
              <w:top w:w="80" w:type="dxa"/>
              <w:start w:w="120" w:type="dxa"/>
              <w:bottom w:w="80" w:type="dxa"/>
              <w:end w:w="120" w:type="dxa"/>
            </w:tcMar>
            <w:vAlign w:val="center"/>
          </w:tcPr>
          <w:p>
            <w:pPr>
              <w:spacing w:before="0" w:after="0" w:line="252" w:lineRule="auto"/>
              <w:jc w:val="left"/>
            </w:pPr>
            <w:r>
              <w:rPr>
                <w:rFonts w:ascii="Calibri" w:hAnsi="Calibri"/>
                <w:color w:val="000000"/>
                <w:sz w:val="17"/>
              </w:rPr>
              <w:t>8 + 2 + 2 + (1 až 6) = 13 až 18</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7"/>
              </w:rPr>
              <w:t>Člověk kouzelník</w:t>
            </w:r>
          </w:p>
        </w:tc>
        <w:tc>
          <w:tcPr>
            <w:tcW w:type="dxa" w:w="2100"/>
            <w:tcMar>
              <w:top w:w="80" w:type="dxa"/>
              <w:start w:w="120" w:type="dxa"/>
              <w:bottom w:w="80" w:type="dxa"/>
              <w:end w:w="120" w:type="dxa"/>
            </w:tcMar>
            <w:vAlign w:val="center"/>
          </w:tcPr>
          <w:p>
            <w:pPr>
              <w:spacing w:before="0" w:after="0" w:line="252" w:lineRule="auto"/>
              <w:jc w:val="left"/>
            </w:pPr>
            <w:r>
              <w:rPr>
                <w:rFonts w:ascii="Calibri" w:hAnsi="Calibri"/>
                <w:color w:val="000000"/>
                <w:sz w:val="17"/>
              </w:rPr>
              <w:t>CH 8, BŠ 2, silný hod</w:t>
            </w:r>
          </w:p>
        </w:tc>
        <w:tc>
          <w:tcPr>
            <w:tcW w:type="dxa" w:w="2100"/>
            <w:tcMar>
              <w:top w:w="80" w:type="dxa"/>
              <w:start w:w="120" w:type="dxa"/>
              <w:bottom w:w="80" w:type="dxa"/>
              <w:end w:w="120" w:type="dxa"/>
            </w:tcMar>
            <w:vAlign w:val="center"/>
          </w:tcPr>
          <w:p>
            <w:pPr>
              <w:spacing w:before="0" w:after="0" w:line="252" w:lineRule="auto"/>
              <w:jc w:val="left"/>
            </w:pPr>
            <w:r>
              <w:rPr>
                <w:rFonts w:ascii="Calibri" w:hAnsi="Calibri"/>
                <w:color w:val="000000"/>
                <w:sz w:val="17"/>
              </w:rPr>
              <w:t>běžné kouzlo +3</w:t>
            </w:r>
          </w:p>
        </w:tc>
        <w:tc>
          <w:tcPr>
            <w:tcW w:type="dxa" w:w="3360"/>
            <w:tcMar>
              <w:top w:w="80" w:type="dxa"/>
              <w:start w:w="120" w:type="dxa"/>
              <w:bottom w:w="80" w:type="dxa"/>
              <w:end w:w="120" w:type="dxa"/>
            </w:tcMar>
            <w:vAlign w:val="center"/>
          </w:tcPr>
          <w:p>
            <w:pPr>
              <w:spacing w:before="0" w:after="0" w:line="252" w:lineRule="auto"/>
              <w:jc w:val="left"/>
            </w:pPr>
            <w:r>
              <w:rPr>
                <w:rFonts w:ascii="Calibri" w:hAnsi="Calibri"/>
                <w:color w:val="000000"/>
                <w:sz w:val="17"/>
              </w:rPr>
              <w:t>8 + 3 + 2 + (1 až 6) = 14 až 19</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7"/>
              </w:rPr>
              <w:t>Člověk bojovník</w:t>
            </w:r>
          </w:p>
        </w:tc>
        <w:tc>
          <w:tcPr>
            <w:tcW w:type="dxa" w:w="2100"/>
            <w:tcMar>
              <w:top w:w="80" w:type="dxa"/>
              <w:start w:w="120" w:type="dxa"/>
              <w:bottom w:w="80" w:type="dxa"/>
              <w:end w:w="120" w:type="dxa"/>
            </w:tcMar>
            <w:vAlign w:val="center"/>
          </w:tcPr>
          <w:p>
            <w:pPr>
              <w:spacing w:before="0" w:after="0" w:line="252" w:lineRule="auto"/>
              <w:jc w:val="left"/>
            </w:pPr>
            <w:r>
              <w:rPr>
                <w:rFonts w:ascii="Calibri" w:hAnsi="Calibri"/>
                <w:color w:val="000000"/>
                <w:sz w:val="17"/>
              </w:rPr>
              <w:t>S 7, BŠ 2, silný hod</w:t>
            </w:r>
          </w:p>
        </w:tc>
        <w:tc>
          <w:tcPr>
            <w:tcW w:type="dxa" w:w="2100"/>
            <w:tcMar>
              <w:top w:w="80" w:type="dxa"/>
              <w:start w:w="120" w:type="dxa"/>
              <w:bottom w:w="80" w:type="dxa"/>
              <w:end w:w="120" w:type="dxa"/>
            </w:tcMar>
            <w:vAlign w:val="center"/>
          </w:tcPr>
          <w:p>
            <w:pPr>
              <w:spacing w:before="0" w:after="0" w:line="252" w:lineRule="auto"/>
              <w:jc w:val="left"/>
            </w:pPr>
            <w:r>
              <w:rPr>
                <w:rFonts w:ascii="Calibri" w:hAnsi="Calibri"/>
                <w:color w:val="000000"/>
                <w:sz w:val="17"/>
              </w:rPr>
              <w:t>obouruční zbraň +5</w:t>
            </w:r>
          </w:p>
        </w:tc>
        <w:tc>
          <w:tcPr>
            <w:tcW w:type="dxa" w:w="3360"/>
            <w:tcMar>
              <w:top w:w="80" w:type="dxa"/>
              <w:start w:w="120" w:type="dxa"/>
              <w:bottom w:w="80" w:type="dxa"/>
              <w:end w:w="120" w:type="dxa"/>
            </w:tcMar>
            <w:vAlign w:val="center"/>
          </w:tcPr>
          <w:p>
            <w:pPr>
              <w:spacing w:before="0" w:after="0" w:line="252" w:lineRule="auto"/>
              <w:jc w:val="left"/>
            </w:pPr>
            <w:r>
              <w:rPr>
                <w:rFonts w:ascii="Calibri" w:hAnsi="Calibri"/>
                <w:color w:val="000000"/>
                <w:sz w:val="17"/>
              </w:rPr>
              <w:t>7 + 5 + 2 + (1 až 6) = 15 až 20</w:t>
            </w:r>
          </w:p>
        </w:tc>
      </w:tr>
      <w:tr>
        <w:trPr>
          <w:cantSplit/>
        </w:trPr>
        <w:tc>
          <w:tcPr>
            <w:tcW w:type="dxa" w:w="1800"/>
            <w:tcMar>
              <w:top w:w="80" w:type="dxa"/>
              <w:start w:w="120" w:type="dxa"/>
              <w:bottom w:w="80" w:type="dxa"/>
              <w:end w:w="120" w:type="dxa"/>
            </w:tcMar>
            <w:vAlign w:val="center"/>
          </w:tcPr>
          <w:p>
            <w:pPr>
              <w:spacing w:before="0" w:after="0" w:line="252" w:lineRule="auto"/>
              <w:jc w:val="left"/>
            </w:pPr>
            <w:r>
              <w:rPr>
                <w:rFonts w:ascii="Calibri" w:hAnsi="Calibri"/>
                <w:color w:val="000000"/>
                <w:sz w:val="17"/>
              </w:rPr>
              <w:t>Člověk kouzelník</w:t>
            </w:r>
          </w:p>
        </w:tc>
        <w:tc>
          <w:tcPr>
            <w:tcW w:type="dxa" w:w="2100"/>
            <w:tcMar>
              <w:top w:w="80" w:type="dxa"/>
              <w:start w:w="120" w:type="dxa"/>
              <w:bottom w:w="80" w:type="dxa"/>
              <w:end w:w="120" w:type="dxa"/>
            </w:tcMar>
            <w:vAlign w:val="center"/>
          </w:tcPr>
          <w:p>
            <w:pPr>
              <w:spacing w:before="0" w:after="0" w:line="252" w:lineRule="auto"/>
              <w:jc w:val="left"/>
            </w:pPr>
            <w:r>
              <w:rPr>
                <w:rFonts w:ascii="Calibri" w:hAnsi="Calibri"/>
                <w:color w:val="000000"/>
                <w:sz w:val="17"/>
              </w:rPr>
              <w:t>CH 8, BŠ 2, silný hod</w:t>
            </w:r>
          </w:p>
        </w:tc>
        <w:tc>
          <w:tcPr>
            <w:tcW w:type="dxa" w:w="2100"/>
            <w:tcMar>
              <w:top w:w="80" w:type="dxa"/>
              <w:start w:w="120" w:type="dxa"/>
              <w:bottom w:w="80" w:type="dxa"/>
              <w:end w:w="120" w:type="dxa"/>
            </w:tcMar>
            <w:vAlign w:val="center"/>
          </w:tcPr>
          <w:p>
            <w:pPr>
              <w:spacing w:before="0" w:after="0" w:line="252" w:lineRule="auto"/>
              <w:jc w:val="left"/>
            </w:pPr>
            <w:r>
              <w:rPr>
                <w:rFonts w:ascii="Calibri" w:hAnsi="Calibri"/>
                <w:color w:val="000000"/>
                <w:sz w:val="17"/>
              </w:rPr>
              <w:t>silné kouzlo +5</w:t>
            </w:r>
          </w:p>
        </w:tc>
        <w:tc>
          <w:tcPr>
            <w:tcW w:type="dxa" w:w="3360"/>
            <w:tcMar>
              <w:top w:w="80" w:type="dxa"/>
              <w:start w:w="120" w:type="dxa"/>
              <w:bottom w:w="80" w:type="dxa"/>
              <w:end w:w="120" w:type="dxa"/>
            </w:tcMar>
            <w:vAlign w:val="center"/>
          </w:tcPr>
          <w:p>
            <w:pPr>
              <w:spacing w:before="0" w:after="0" w:line="252" w:lineRule="auto"/>
              <w:jc w:val="left"/>
            </w:pPr>
            <w:r>
              <w:rPr>
                <w:rFonts w:ascii="Calibri" w:hAnsi="Calibri"/>
                <w:color w:val="000000"/>
                <w:sz w:val="17"/>
              </w:rPr>
              <w:t>8 + 5 + 2 + (1 až 6) = 16 až 21</w:t>
            </w:r>
          </w:p>
        </w:tc>
      </w:tr>
    </w:tbl>
    <w:tbl>
      <w:tblPr>
        <w:tblW w:type="dxa" w:w="9360"/>
        <w:jc w:val="left"/>
        <w:tblLayout w:type="fixed"/>
        <w:tblLook w:firstColumn="1" w:firstRow="1" w:lastColumn="0" w:lastRow="0" w:noHBand="0" w:noVBand="1" w:val="04A0"/>
        <w:tblInd w:w="120" w:type="dxa"/>
        <w:tblBorders>
          <w:top w:val="single" w:sz="5" w:space="0" w:color="7FA37F"/>
          <w:left w:val="single" w:sz="5" w:space="0" w:color="7FA37F"/>
          <w:bottom w:val="single" w:sz="5" w:space="0" w:color="7FA37F"/>
          <w:right w:val="single" w:sz="5" w:space="0" w:color="7FA37F"/>
          <w:insideH w:val="single" w:sz="5" w:space="0" w:color="7FA37F"/>
          <w:insideV w:val="single" w:sz="5" w:space="0" w:color="7FA37F"/>
        </w:tblBorders>
      </w:tblPr>
      <w:tblGrid>
        <w:gridCol w:w="9360"/>
      </w:tblGrid>
      <w:tr>
        <w:tc>
          <w:tcPr>
            <w:tcW w:type="dxa" w:w="9360"/>
            <w:shd w:fill="EAF4EA"/>
            <w:tcMar>
              <w:top w:w="130" w:type="dxa"/>
              <w:start w:w="180" w:type="dxa"/>
              <w:bottom w:w="130" w:type="dxa"/>
              <w:end w:w="180" w:type="dxa"/>
            </w:tcMar>
          </w:tcPr>
          <w:p>
            <w:pPr>
              <w:spacing w:after="0" w:line="288" w:lineRule="auto"/>
            </w:pPr>
            <w:r>
              <w:rPr>
                <w:rFonts w:ascii="Calibri" w:hAnsi="Calibri"/>
                <w:b/>
                <w:color w:val="18324A"/>
                <w:sz w:val="21"/>
              </w:rPr>
              <w:t xml:space="preserve">Závěr útoku: </w:t>
            </w:r>
            <w:r>
              <w:rPr>
                <w:rFonts w:ascii="Calibri" w:hAnsi="Calibri"/>
                <w:color w:val="000000"/>
                <w:sz w:val="21"/>
              </w:rPr>
              <w:t>Bonusy +1 až +6 kopírují rozsah fyzických zbraní. Běžná Ohnivá střela +2 vychází u lidského kouzelníka přesně stejně jako jednoruční meč +3 u lidského bojovníka. Rozdíl u silných kouzel je přibližně 1 bod a je vyvážen požadavky, znalostí a omezením použití.</w:t>
            </w:r>
          </w:p>
        </w:tc>
      </w:tr>
    </w:tbl>
    <w:p>
      <w:pPr>
        <w:spacing w:after="20"/>
      </w:pPr>
    </w:p>
    <w:p>
      <w:r>
        <w:br w:type="page"/>
      </w:r>
    </w:p>
    <w:p>
      <w:pPr>
        <w:pStyle w:val="Heading2"/>
      </w:pPr>
      <w:r>
        <w:t>5.3 Léčení proti lektvarům a Životům – kontrolní výpočet</w:t>
      </w:r>
    </w:p>
    <w:tbl>
      <w:tblPr>
        <w:tblW w:type="dxa" w:w="9360"/>
        <w:jc w:val="left"/>
        <w:tblLayout w:type="fixed"/>
        <w:tblLook w:firstColumn="1" w:firstRow="1" w:lastColumn="0" w:lastRow="0" w:noHBand="0" w:noVBand="1" w:val="04A0"/>
        <w:tblInd w:w="120" w:type="dxa"/>
        <w:tblBorders>
          <w:top w:val="single" w:sz="5" w:space="0" w:color="7FA37F"/>
          <w:left w:val="single" w:sz="5" w:space="0" w:color="7FA37F"/>
          <w:bottom w:val="single" w:sz="5" w:space="0" w:color="7FA37F"/>
          <w:right w:val="single" w:sz="5" w:space="0" w:color="7FA37F"/>
          <w:insideH w:val="single" w:sz="5" w:space="0" w:color="7FA37F"/>
          <w:insideV w:val="single" w:sz="5" w:space="0" w:color="7FA37F"/>
        </w:tblBorders>
      </w:tblPr>
      <w:tblGrid>
        <w:gridCol w:w="9360"/>
      </w:tblGrid>
      <w:tr>
        <w:tc>
          <w:tcPr>
            <w:tcW w:type="dxa" w:w="9360"/>
            <w:shd w:fill="EAF4EA"/>
            <w:tcMar>
              <w:top w:w="130" w:type="dxa"/>
              <w:start w:w="180" w:type="dxa"/>
              <w:bottom w:w="130" w:type="dxa"/>
              <w:end w:w="180" w:type="dxa"/>
            </w:tcMar>
          </w:tcPr>
          <w:p>
            <w:pPr>
              <w:spacing w:after="0" w:line="288" w:lineRule="auto"/>
            </w:pPr>
            <w:r>
              <w:rPr>
                <w:rFonts w:ascii="Calibri" w:hAnsi="Calibri"/>
                <w:b/>
                <w:color w:val="18324A"/>
                <w:sz w:val="21"/>
              </w:rPr>
              <w:t xml:space="preserve">Definitivní výpočet: </w:t>
            </w:r>
            <w:r>
              <w:rPr>
                <w:rFonts w:ascii="Calibri" w:hAnsi="Calibri"/>
                <w:color w:val="000000"/>
                <w:sz w:val="21"/>
              </w:rPr>
              <w:t>Základ léčení se vynásobí koeficientem Léčení a zaokrouhlí na nejbližší celé číslo, přesně 0,5 nahoru. Až potom se jednou přičtou použitelné předmětové bonusy k výsledku seslání.</w:t>
            </w:r>
          </w:p>
        </w:tc>
      </w:tr>
    </w:tbl>
    <w:p>
      <w:pPr>
        <w:spacing w:after="20"/>
      </w:pPr>
    </w:p>
    <w:tbl>
      <w:tblPr>
        <w:tblW w:type="dxa" w:w="9360"/>
        <w:jc w:val="left"/>
        <w:tblLayout w:type="fixed"/>
        <w:tblLook w:firstColumn="1" w:firstRow="1" w:lastColumn="0" w:lastRow="0" w:noHBand="0" w:noVBand="1" w:val="04A0"/>
        <w:tblInd w:w="120" w:type="dxa"/>
        <w:tblBorders>
          <w:top w:val="single" w:sz="4" w:space="0" w:color="AAB7C4"/>
          <w:left w:val="single" w:sz="4" w:space="0" w:color="AAB7C4"/>
          <w:bottom w:val="single" w:sz="4" w:space="0" w:color="AAB7C4"/>
          <w:right w:val="single" w:sz="4" w:space="0" w:color="AAB7C4"/>
          <w:insideH w:val="single" w:sz="4" w:space="0" w:color="AAB7C4"/>
          <w:insideV w:val="single" w:sz="4" w:space="0" w:color="AAB7C4"/>
        </w:tblBorders>
      </w:tblPr>
      <w:tblGrid>
        <w:gridCol w:w="1200"/>
        <w:gridCol w:w="1360"/>
        <w:gridCol w:w="1360"/>
        <w:gridCol w:w="1360"/>
        <w:gridCol w:w="1360"/>
        <w:gridCol w:w="1360"/>
        <w:gridCol w:w="1360"/>
      </w:tblGrid>
      <w:tr>
        <w:trPr>
          <w:tblHeader w:val="true"/>
          <w:cantSplit/>
        </w:trPr>
        <w:tc>
          <w:tcPr>
            <w:tcW w:type="dxa" w:w="1200"/>
            <w:shd w:fill="E8EEF5"/>
            <w:tcMar>
              <w:top w:w="80" w:type="dxa"/>
              <w:start w:w="120" w:type="dxa"/>
              <w:bottom w:w="80" w:type="dxa"/>
              <w:end w:w="120" w:type="dxa"/>
            </w:tcMar>
            <w:vAlign w:val="center"/>
          </w:tcPr>
          <w:p>
            <w:pPr>
              <w:spacing w:before="0" w:after="0" w:line="240" w:lineRule="auto"/>
              <w:jc w:val="center"/>
            </w:pPr>
            <w:r>
              <w:rPr>
                <w:rFonts w:ascii="Calibri" w:hAnsi="Calibri"/>
                <w:b/>
                <w:color w:val="18324A"/>
                <w:sz w:val="16"/>
              </w:rPr>
              <w:t>Základ kouzla</w:t>
            </w:r>
          </w:p>
        </w:tc>
        <w:tc>
          <w:tcPr>
            <w:tcW w:type="dxa" w:w="1360"/>
            <w:shd w:fill="E8EEF5"/>
            <w:tcMar>
              <w:top w:w="80" w:type="dxa"/>
              <w:start w:w="120" w:type="dxa"/>
              <w:bottom w:w="80" w:type="dxa"/>
              <w:end w:w="120" w:type="dxa"/>
            </w:tcMar>
            <w:vAlign w:val="center"/>
          </w:tcPr>
          <w:p>
            <w:pPr>
              <w:spacing w:before="0" w:after="0" w:line="240" w:lineRule="auto"/>
              <w:jc w:val="center"/>
            </w:pPr>
            <w:r>
              <w:rPr>
                <w:rFonts w:ascii="Calibri" w:hAnsi="Calibri"/>
                <w:b/>
                <w:color w:val="18324A"/>
                <w:sz w:val="16"/>
              </w:rPr>
              <w:t>Léčitel</w:t>
            </w:r>
          </w:p>
        </w:tc>
        <w:tc>
          <w:tcPr>
            <w:tcW w:type="dxa" w:w="1360"/>
            <w:shd w:fill="E8EEF5"/>
            <w:tcMar>
              <w:top w:w="80" w:type="dxa"/>
              <w:start w:w="120" w:type="dxa"/>
              <w:bottom w:w="80" w:type="dxa"/>
              <w:end w:w="120" w:type="dxa"/>
            </w:tcMar>
            <w:vAlign w:val="center"/>
          </w:tcPr>
          <w:p>
            <w:pPr>
              <w:spacing w:before="0" w:after="0" w:line="240" w:lineRule="auto"/>
              <w:jc w:val="center"/>
            </w:pPr>
            <w:r>
              <w:rPr>
                <w:rFonts w:ascii="Calibri" w:hAnsi="Calibri"/>
                <w:b/>
                <w:color w:val="18324A"/>
                <w:sz w:val="16"/>
              </w:rPr>
              <w:t>Hraničář</w:t>
            </w:r>
          </w:p>
        </w:tc>
        <w:tc>
          <w:tcPr>
            <w:tcW w:type="dxa" w:w="1360"/>
            <w:shd w:fill="E8EEF5"/>
            <w:tcMar>
              <w:top w:w="80" w:type="dxa"/>
              <w:start w:w="120" w:type="dxa"/>
              <w:bottom w:w="80" w:type="dxa"/>
              <w:end w:w="120" w:type="dxa"/>
            </w:tcMar>
            <w:vAlign w:val="center"/>
          </w:tcPr>
          <w:p>
            <w:pPr>
              <w:spacing w:before="0" w:after="0" w:line="240" w:lineRule="auto"/>
              <w:jc w:val="center"/>
            </w:pPr>
            <w:r>
              <w:rPr>
                <w:rFonts w:ascii="Calibri" w:hAnsi="Calibri"/>
                <w:b/>
                <w:color w:val="18324A"/>
                <w:sz w:val="16"/>
              </w:rPr>
              <w:t>Kouzelník</w:t>
            </w:r>
          </w:p>
        </w:tc>
        <w:tc>
          <w:tcPr>
            <w:tcW w:type="dxa" w:w="1360"/>
            <w:shd w:fill="E8EEF5"/>
            <w:tcMar>
              <w:top w:w="80" w:type="dxa"/>
              <w:start w:w="120" w:type="dxa"/>
              <w:bottom w:w="80" w:type="dxa"/>
              <w:end w:w="120" w:type="dxa"/>
            </w:tcMar>
            <w:vAlign w:val="center"/>
          </w:tcPr>
          <w:p>
            <w:pPr>
              <w:spacing w:before="0" w:after="0" w:line="240" w:lineRule="auto"/>
              <w:jc w:val="center"/>
            </w:pPr>
            <w:r>
              <w:rPr>
                <w:rFonts w:ascii="Calibri" w:hAnsi="Calibri"/>
                <w:b/>
                <w:color w:val="18324A"/>
                <w:sz w:val="16"/>
              </w:rPr>
              <w:t>Bard</w:t>
            </w:r>
          </w:p>
        </w:tc>
        <w:tc>
          <w:tcPr>
            <w:tcW w:type="dxa" w:w="1360"/>
            <w:shd w:fill="E8EEF5"/>
            <w:tcMar>
              <w:top w:w="80" w:type="dxa"/>
              <w:start w:w="120" w:type="dxa"/>
              <w:bottom w:w="80" w:type="dxa"/>
              <w:end w:w="120" w:type="dxa"/>
            </w:tcMar>
            <w:vAlign w:val="center"/>
          </w:tcPr>
          <w:p>
            <w:pPr>
              <w:spacing w:before="0" w:after="0" w:line="240" w:lineRule="auto"/>
              <w:jc w:val="center"/>
            </w:pPr>
            <w:r>
              <w:rPr>
                <w:rFonts w:ascii="Calibri" w:hAnsi="Calibri"/>
                <w:b/>
                <w:color w:val="18324A"/>
                <w:sz w:val="16"/>
              </w:rPr>
              <w:t>Bojovník</w:t>
            </w:r>
          </w:p>
        </w:tc>
        <w:tc>
          <w:tcPr>
            <w:tcW w:type="dxa" w:w="1360"/>
            <w:shd w:fill="E8EEF5"/>
            <w:tcMar>
              <w:top w:w="80" w:type="dxa"/>
              <w:start w:w="120" w:type="dxa"/>
              <w:bottom w:w="80" w:type="dxa"/>
              <w:end w:w="120" w:type="dxa"/>
            </w:tcMar>
            <w:vAlign w:val="center"/>
          </w:tcPr>
          <w:p>
            <w:pPr>
              <w:spacing w:before="0" w:after="0" w:line="240" w:lineRule="auto"/>
              <w:jc w:val="center"/>
            </w:pPr>
            <w:r>
              <w:rPr>
                <w:rFonts w:ascii="Calibri" w:hAnsi="Calibri"/>
                <w:b/>
                <w:color w:val="18324A"/>
                <w:sz w:val="16"/>
              </w:rPr>
              <w:t>Zloděj</w:t>
            </w:r>
          </w:p>
        </w:tc>
      </w:tr>
      <w:tr>
        <w:trPr>
          <w:cantSplit/>
        </w:trPr>
        <w:tc>
          <w:tcPr>
            <w:tcW w:type="dxa" w:w="1200"/>
            <w:tcMar>
              <w:top w:w="80" w:type="dxa"/>
              <w:start w:w="120" w:type="dxa"/>
              <w:bottom w:w="80" w:type="dxa"/>
              <w:end w:w="120" w:type="dxa"/>
            </w:tcMar>
            <w:vAlign w:val="center"/>
          </w:tcPr>
          <w:p>
            <w:pPr>
              <w:spacing w:before="0" w:after="0" w:line="252" w:lineRule="auto"/>
              <w:jc w:val="center"/>
            </w:pPr>
            <w:r>
              <w:rPr>
                <w:rFonts w:ascii="Calibri" w:hAnsi="Calibri"/>
                <w:color w:val="000000"/>
                <w:sz w:val="17"/>
              </w:rPr>
              <w:t>3</w:t>
            </w:r>
          </w:p>
        </w:tc>
        <w:tc>
          <w:tcPr>
            <w:tcW w:type="dxa" w:w="1360"/>
            <w:tcMar>
              <w:top w:w="80" w:type="dxa"/>
              <w:start w:w="120" w:type="dxa"/>
              <w:bottom w:w="80" w:type="dxa"/>
              <w:end w:w="120" w:type="dxa"/>
            </w:tcMar>
            <w:vAlign w:val="center"/>
          </w:tcPr>
          <w:p>
            <w:pPr>
              <w:spacing w:before="0" w:after="0" w:line="252" w:lineRule="auto"/>
              <w:jc w:val="center"/>
            </w:pPr>
            <w:r>
              <w:rPr>
                <w:rFonts w:ascii="Calibri" w:hAnsi="Calibri"/>
                <w:color w:val="000000"/>
                <w:sz w:val="17"/>
              </w:rPr>
              <w:t>3</w:t>
            </w:r>
          </w:p>
        </w:tc>
        <w:tc>
          <w:tcPr>
            <w:tcW w:type="dxa" w:w="1360"/>
            <w:tcMar>
              <w:top w:w="80" w:type="dxa"/>
              <w:start w:w="120" w:type="dxa"/>
              <w:bottom w:w="80" w:type="dxa"/>
              <w:end w:w="120" w:type="dxa"/>
            </w:tcMar>
            <w:vAlign w:val="center"/>
          </w:tcPr>
          <w:p>
            <w:pPr>
              <w:spacing w:before="0" w:after="0" w:line="252" w:lineRule="auto"/>
              <w:jc w:val="center"/>
            </w:pPr>
            <w:r>
              <w:rPr>
                <w:rFonts w:ascii="Calibri" w:hAnsi="Calibri"/>
                <w:color w:val="000000"/>
                <w:sz w:val="17"/>
              </w:rPr>
              <w:t>2</w:t>
            </w:r>
          </w:p>
        </w:tc>
        <w:tc>
          <w:tcPr>
            <w:tcW w:type="dxa" w:w="1360"/>
            <w:tcMar>
              <w:top w:w="80" w:type="dxa"/>
              <w:start w:w="120" w:type="dxa"/>
              <w:bottom w:w="80" w:type="dxa"/>
              <w:end w:w="120" w:type="dxa"/>
            </w:tcMar>
            <w:vAlign w:val="center"/>
          </w:tcPr>
          <w:p>
            <w:pPr>
              <w:spacing w:before="0" w:after="0" w:line="252" w:lineRule="auto"/>
              <w:jc w:val="center"/>
            </w:pPr>
            <w:r>
              <w:rPr>
                <w:rFonts w:ascii="Calibri" w:hAnsi="Calibri"/>
                <w:color w:val="000000"/>
                <w:sz w:val="17"/>
              </w:rPr>
              <w:t>2</w:t>
            </w:r>
          </w:p>
        </w:tc>
        <w:tc>
          <w:tcPr>
            <w:tcW w:type="dxa" w:w="1360"/>
            <w:tcMar>
              <w:top w:w="80" w:type="dxa"/>
              <w:start w:w="120" w:type="dxa"/>
              <w:bottom w:w="80" w:type="dxa"/>
              <w:end w:w="120" w:type="dxa"/>
            </w:tcMar>
            <w:vAlign w:val="center"/>
          </w:tcPr>
          <w:p>
            <w:pPr>
              <w:spacing w:before="0" w:after="0" w:line="252" w:lineRule="auto"/>
              <w:jc w:val="center"/>
            </w:pPr>
            <w:r>
              <w:rPr>
                <w:rFonts w:ascii="Calibri" w:hAnsi="Calibri"/>
                <w:color w:val="000000"/>
                <w:sz w:val="17"/>
              </w:rPr>
              <w:t>2</w:t>
            </w:r>
          </w:p>
        </w:tc>
        <w:tc>
          <w:tcPr>
            <w:tcW w:type="dxa" w:w="1360"/>
            <w:tcMar>
              <w:top w:w="80" w:type="dxa"/>
              <w:start w:w="120" w:type="dxa"/>
              <w:bottom w:w="80" w:type="dxa"/>
              <w:end w:w="120" w:type="dxa"/>
            </w:tcMar>
            <w:vAlign w:val="center"/>
          </w:tcPr>
          <w:p>
            <w:pPr>
              <w:spacing w:before="0" w:after="0" w:line="252" w:lineRule="auto"/>
              <w:jc w:val="center"/>
            </w:pPr>
            <w:r>
              <w:rPr>
                <w:rFonts w:ascii="Calibri" w:hAnsi="Calibri"/>
                <w:color w:val="000000"/>
                <w:sz w:val="17"/>
              </w:rPr>
              <w:t>1</w:t>
            </w:r>
          </w:p>
        </w:tc>
        <w:tc>
          <w:tcPr>
            <w:tcW w:type="dxa" w:w="1360"/>
            <w:tcMar>
              <w:top w:w="80" w:type="dxa"/>
              <w:start w:w="120" w:type="dxa"/>
              <w:bottom w:w="80" w:type="dxa"/>
              <w:end w:w="120" w:type="dxa"/>
            </w:tcMar>
            <w:vAlign w:val="center"/>
          </w:tcPr>
          <w:p>
            <w:pPr>
              <w:spacing w:before="0" w:after="0" w:line="252" w:lineRule="auto"/>
              <w:jc w:val="center"/>
            </w:pPr>
            <w:r>
              <w:rPr>
                <w:rFonts w:ascii="Calibri" w:hAnsi="Calibri"/>
                <w:color w:val="000000"/>
                <w:sz w:val="17"/>
              </w:rPr>
              <w:t>1</w:t>
            </w:r>
          </w:p>
        </w:tc>
      </w:tr>
      <w:tr>
        <w:trPr>
          <w:cantSplit/>
        </w:trPr>
        <w:tc>
          <w:tcPr>
            <w:tcW w:type="dxa" w:w="1200"/>
            <w:tcMar>
              <w:top w:w="80" w:type="dxa"/>
              <w:start w:w="120" w:type="dxa"/>
              <w:bottom w:w="80" w:type="dxa"/>
              <w:end w:w="120" w:type="dxa"/>
            </w:tcMar>
            <w:vAlign w:val="center"/>
          </w:tcPr>
          <w:p>
            <w:pPr>
              <w:spacing w:before="0" w:after="0" w:line="252" w:lineRule="auto"/>
              <w:jc w:val="center"/>
            </w:pPr>
            <w:r>
              <w:rPr>
                <w:rFonts w:ascii="Calibri" w:hAnsi="Calibri"/>
                <w:color w:val="000000"/>
                <w:sz w:val="17"/>
              </w:rPr>
              <w:t>4</w:t>
            </w:r>
          </w:p>
        </w:tc>
        <w:tc>
          <w:tcPr>
            <w:tcW w:type="dxa" w:w="1360"/>
            <w:tcMar>
              <w:top w:w="80" w:type="dxa"/>
              <w:start w:w="120" w:type="dxa"/>
              <w:bottom w:w="80" w:type="dxa"/>
              <w:end w:w="120" w:type="dxa"/>
            </w:tcMar>
            <w:vAlign w:val="center"/>
          </w:tcPr>
          <w:p>
            <w:pPr>
              <w:spacing w:before="0" w:after="0" w:line="252" w:lineRule="auto"/>
              <w:jc w:val="center"/>
            </w:pPr>
            <w:r>
              <w:rPr>
                <w:rFonts w:ascii="Calibri" w:hAnsi="Calibri"/>
                <w:color w:val="000000"/>
                <w:sz w:val="17"/>
              </w:rPr>
              <w:t>4</w:t>
            </w:r>
          </w:p>
        </w:tc>
        <w:tc>
          <w:tcPr>
            <w:tcW w:type="dxa" w:w="1360"/>
            <w:tcMar>
              <w:top w:w="80" w:type="dxa"/>
              <w:start w:w="120" w:type="dxa"/>
              <w:bottom w:w="80" w:type="dxa"/>
              <w:end w:w="120" w:type="dxa"/>
            </w:tcMar>
            <w:vAlign w:val="center"/>
          </w:tcPr>
          <w:p>
            <w:pPr>
              <w:spacing w:before="0" w:after="0" w:line="252" w:lineRule="auto"/>
              <w:jc w:val="center"/>
            </w:pPr>
            <w:r>
              <w:rPr>
                <w:rFonts w:ascii="Calibri" w:hAnsi="Calibri"/>
                <w:color w:val="000000"/>
                <w:sz w:val="17"/>
              </w:rPr>
              <w:t>3</w:t>
            </w:r>
          </w:p>
        </w:tc>
        <w:tc>
          <w:tcPr>
            <w:tcW w:type="dxa" w:w="1360"/>
            <w:tcMar>
              <w:top w:w="80" w:type="dxa"/>
              <w:start w:w="120" w:type="dxa"/>
              <w:bottom w:w="80" w:type="dxa"/>
              <w:end w:w="120" w:type="dxa"/>
            </w:tcMar>
            <w:vAlign w:val="center"/>
          </w:tcPr>
          <w:p>
            <w:pPr>
              <w:spacing w:before="0" w:after="0" w:line="252" w:lineRule="auto"/>
              <w:jc w:val="center"/>
            </w:pPr>
            <w:r>
              <w:rPr>
                <w:rFonts w:ascii="Calibri" w:hAnsi="Calibri"/>
                <w:color w:val="000000"/>
                <w:sz w:val="17"/>
              </w:rPr>
              <w:t>2</w:t>
            </w:r>
          </w:p>
        </w:tc>
        <w:tc>
          <w:tcPr>
            <w:tcW w:type="dxa" w:w="1360"/>
            <w:tcMar>
              <w:top w:w="80" w:type="dxa"/>
              <w:start w:w="120" w:type="dxa"/>
              <w:bottom w:w="80" w:type="dxa"/>
              <w:end w:w="120" w:type="dxa"/>
            </w:tcMar>
            <w:vAlign w:val="center"/>
          </w:tcPr>
          <w:p>
            <w:pPr>
              <w:spacing w:before="0" w:after="0" w:line="252" w:lineRule="auto"/>
              <w:jc w:val="center"/>
            </w:pPr>
            <w:r>
              <w:rPr>
                <w:rFonts w:ascii="Calibri" w:hAnsi="Calibri"/>
                <w:color w:val="000000"/>
                <w:sz w:val="17"/>
              </w:rPr>
              <w:t>2</w:t>
            </w:r>
          </w:p>
        </w:tc>
        <w:tc>
          <w:tcPr>
            <w:tcW w:type="dxa" w:w="1360"/>
            <w:tcMar>
              <w:top w:w="80" w:type="dxa"/>
              <w:start w:w="120" w:type="dxa"/>
              <w:bottom w:w="80" w:type="dxa"/>
              <w:end w:w="120" w:type="dxa"/>
            </w:tcMar>
            <w:vAlign w:val="center"/>
          </w:tcPr>
          <w:p>
            <w:pPr>
              <w:spacing w:before="0" w:after="0" w:line="252" w:lineRule="auto"/>
              <w:jc w:val="center"/>
            </w:pPr>
            <w:r>
              <w:rPr>
                <w:rFonts w:ascii="Calibri" w:hAnsi="Calibri"/>
                <w:color w:val="000000"/>
                <w:sz w:val="17"/>
              </w:rPr>
              <w:t>1</w:t>
            </w:r>
          </w:p>
        </w:tc>
        <w:tc>
          <w:tcPr>
            <w:tcW w:type="dxa" w:w="1360"/>
            <w:tcMar>
              <w:top w:w="80" w:type="dxa"/>
              <w:start w:w="120" w:type="dxa"/>
              <w:bottom w:w="80" w:type="dxa"/>
              <w:end w:w="120" w:type="dxa"/>
            </w:tcMar>
            <w:vAlign w:val="center"/>
          </w:tcPr>
          <w:p>
            <w:pPr>
              <w:spacing w:before="0" w:after="0" w:line="252" w:lineRule="auto"/>
              <w:jc w:val="center"/>
            </w:pPr>
            <w:r>
              <w:rPr>
                <w:rFonts w:ascii="Calibri" w:hAnsi="Calibri"/>
                <w:color w:val="000000"/>
                <w:sz w:val="17"/>
              </w:rPr>
              <w:t>1</w:t>
            </w:r>
          </w:p>
        </w:tc>
      </w:tr>
      <w:tr>
        <w:trPr>
          <w:cantSplit/>
        </w:trPr>
        <w:tc>
          <w:tcPr>
            <w:tcW w:type="dxa" w:w="1200"/>
            <w:tcMar>
              <w:top w:w="80" w:type="dxa"/>
              <w:start w:w="120" w:type="dxa"/>
              <w:bottom w:w="80" w:type="dxa"/>
              <w:end w:w="120" w:type="dxa"/>
            </w:tcMar>
            <w:vAlign w:val="center"/>
          </w:tcPr>
          <w:p>
            <w:pPr>
              <w:spacing w:before="0" w:after="0" w:line="252" w:lineRule="auto"/>
              <w:jc w:val="center"/>
            </w:pPr>
            <w:r>
              <w:rPr>
                <w:rFonts w:ascii="Calibri" w:hAnsi="Calibri"/>
                <w:color w:val="000000"/>
                <w:sz w:val="17"/>
              </w:rPr>
              <w:t>6</w:t>
            </w:r>
          </w:p>
        </w:tc>
        <w:tc>
          <w:tcPr>
            <w:tcW w:type="dxa" w:w="1360"/>
            <w:tcMar>
              <w:top w:w="80" w:type="dxa"/>
              <w:start w:w="120" w:type="dxa"/>
              <w:bottom w:w="80" w:type="dxa"/>
              <w:end w:w="120" w:type="dxa"/>
            </w:tcMar>
            <w:vAlign w:val="center"/>
          </w:tcPr>
          <w:p>
            <w:pPr>
              <w:spacing w:before="0" w:after="0" w:line="252" w:lineRule="auto"/>
              <w:jc w:val="center"/>
            </w:pPr>
            <w:r>
              <w:rPr>
                <w:rFonts w:ascii="Calibri" w:hAnsi="Calibri"/>
                <w:color w:val="000000"/>
                <w:sz w:val="17"/>
              </w:rPr>
              <w:t>6</w:t>
            </w:r>
          </w:p>
        </w:tc>
        <w:tc>
          <w:tcPr>
            <w:tcW w:type="dxa" w:w="1360"/>
            <w:tcMar>
              <w:top w:w="80" w:type="dxa"/>
              <w:start w:w="120" w:type="dxa"/>
              <w:bottom w:w="80" w:type="dxa"/>
              <w:end w:w="120" w:type="dxa"/>
            </w:tcMar>
            <w:vAlign w:val="center"/>
          </w:tcPr>
          <w:p>
            <w:pPr>
              <w:spacing w:before="0" w:after="0" w:line="252" w:lineRule="auto"/>
              <w:jc w:val="center"/>
            </w:pPr>
            <w:r>
              <w:rPr>
                <w:rFonts w:ascii="Calibri" w:hAnsi="Calibri"/>
                <w:color w:val="000000"/>
                <w:sz w:val="17"/>
              </w:rPr>
              <w:t>5</w:t>
            </w:r>
          </w:p>
        </w:tc>
        <w:tc>
          <w:tcPr>
            <w:tcW w:type="dxa" w:w="1360"/>
            <w:tcMar>
              <w:top w:w="80" w:type="dxa"/>
              <w:start w:w="120" w:type="dxa"/>
              <w:bottom w:w="80" w:type="dxa"/>
              <w:end w:w="120" w:type="dxa"/>
            </w:tcMar>
            <w:vAlign w:val="center"/>
          </w:tcPr>
          <w:p>
            <w:pPr>
              <w:spacing w:before="0" w:after="0" w:line="252" w:lineRule="auto"/>
              <w:jc w:val="center"/>
            </w:pPr>
            <w:r>
              <w:rPr>
                <w:rFonts w:ascii="Calibri" w:hAnsi="Calibri"/>
                <w:color w:val="000000"/>
                <w:sz w:val="17"/>
              </w:rPr>
              <w:t>3</w:t>
            </w:r>
          </w:p>
        </w:tc>
        <w:tc>
          <w:tcPr>
            <w:tcW w:type="dxa" w:w="1360"/>
            <w:tcMar>
              <w:top w:w="80" w:type="dxa"/>
              <w:start w:w="120" w:type="dxa"/>
              <w:bottom w:w="80" w:type="dxa"/>
              <w:end w:w="120" w:type="dxa"/>
            </w:tcMar>
            <w:vAlign w:val="center"/>
          </w:tcPr>
          <w:p>
            <w:pPr>
              <w:spacing w:before="0" w:after="0" w:line="252" w:lineRule="auto"/>
              <w:jc w:val="center"/>
            </w:pPr>
            <w:r>
              <w:rPr>
                <w:rFonts w:ascii="Calibri" w:hAnsi="Calibri"/>
                <w:color w:val="000000"/>
                <w:sz w:val="17"/>
              </w:rPr>
              <w:t>3</w:t>
            </w:r>
          </w:p>
        </w:tc>
        <w:tc>
          <w:tcPr>
            <w:tcW w:type="dxa" w:w="1360"/>
            <w:tcMar>
              <w:top w:w="80" w:type="dxa"/>
              <w:start w:w="120" w:type="dxa"/>
              <w:bottom w:w="80" w:type="dxa"/>
              <w:end w:w="120" w:type="dxa"/>
            </w:tcMar>
            <w:vAlign w:val="center"/>
          </w:tcPr>
          <w:p>
            <w:pPr>
              <w:spacing w:before="0" w:after="0" w:line="252" w:lineRule="auto"/>
              <w:jc w:val="center"/>
            </w:pPr>
            <w:r>
              <w:rPr>
                <w:rFonts w:ascii="Calibri" w:hAnsi="Calibri"/>
                <w:color w:val="000000"/>
                <w:sz w:val="17"/>
              </w:rPr>
              <w:t>2</w:t>
            </w:r>
          </w:p>
        </w:tc>
        <w:tc>
          <w:tcPr>
            <w:tcW w:type="dxa" w:w="1360"/>
            <w:tcMar>
              <w:top w:w="80" w:type="dxa"/>
              <w:start w:w="120" w:type="dxa"/>
              <w:bottom w:w="80" w:type="dxa"/>
              <w:end w:w="120" w:type="dxa"/>
            </w:tcMar>
            <w:vAlign w:val="center"/>
          </w:tcPr>
          <w:p>
            <w:pPr>
              <w:spacing w:before="0" w:after="0" w:line="252" w:lineRule="auto"/>
              <w:jc w:val="center"/>
            </w:pPr>
            <w:r>
              <w:rPr>
                <w:rFonts w:ascii="Calibri" w:hAnsi="Calibri"/>
                <w:color w:val="000000"/>
                <w:sz w:val="17"/>
              </w:rPr>
              <w:t>2</w:t>
            </w:r>
          </w:p>
        </w:tc>
      </w:tr>
      <w:tr>
        <w:trPr>
          <w:cantSplit/>
        </w:trPr>
        <w:tc>
          <w:tcPr>
            <w:tcW w:type="dxa" w:w="1200"/>
            <w:tcMar>
              <w:top w:w="80" w:type="dxa"/>
              <w:start w:w="120" w:type="dxa"/>
              <w:bottom w:w="80" w:type="dxa"/>
              <w:end w:w="120" w:type="dxa"/>
            </w:tcMar>
            <w:vAlign w:val="center"/>
          </w:tcPr>
          <w:p>
            <w:pPr>
              <w:spacing w:before="0" w:after="0" w:line="252" w:lineRule="auto"/>
              <w:jc w:val="center"/>
            </w:pPr>
            <w:r>
              <w:rPr>
                <w:rFonts w:ascii="Calibri" w:hAnsi="Calibri"/>
                <w:color w:val="000000"/>
                <w:sz w:val="17"/>
              </w:rPr>
              <w:t>10</w:t>
            </w:r>
          </w:p>
        </w:tc>
        <w:tc>
          <w:tcPr>
            <w:tcW w:type="dxa" w:w="1360"/>
            <w:tcMar>
              <w:top w:w="80" w:type="dxa"/>
              <w:start w:w="120" w:type="dxa"/>
              <w:bottom w:w="80" w:type="dxa"/>
              <w:end w:w="120" w:type="dxa"/>
            </w:tcMar>
            <w:vAlign w:val="center"/>
          </w:tcPr>
          <w:p>
            <w:pPr>
              <w:spacing w:before="0" w:after="0" w:line="252" w:lineRule="auto"/>
              <w:jc w:val="center"/>
            </w:pPr>
            <w:r>
              <w:rPr>
                <w:rFonts w:ascii="Calibri" w:hAnsi="Calibri"/>
                <w:color w:val="000000"/>
                <w:sz w:val="17"/>
              </w:rPr>
              <w:t>10</w:t>
            </w:r>
          </w:p>
        </w:tc>
        <w:tc>
          <w:tcPr>
            <w:tcW w:type="dxa" w:w="1360"/>
            <w:tcMar>
              <w:top w:w="80" w:type="dxa"/>
              <w:start w:w="120" w:type="dxa"/>
              <w:bottom w:w="80" w:type="dxa"/>
              <w:end w:w="120" w:type="dxa"/>
            </w:tcMar>
            <w:vAlign w:val="center"/>
          </w:tcPr>
          <w:p>
            <w:pPr>
              <w:spacing w:before="0" w:after="0" w:line="252" w:lineRule="auto"/>
              <w:jc w:val="center"/>
            </w:pPr>
            <w:r>
              <w:rPr>
                <w:rFonts w:ascii="Calibri" w:hAnsi="Calibri"/>
                <w:color w:val="000000"/>
                <w:sz w:val="17"/>
              </w:rPr>
              <w:t>8</w:t>
            </w:r>
          </w:p>
        </w:tc>
        <w:tc>
          <w:tcPr>
            <w:tcW w:type="dxa" w:w="1360"/>
            <w:tcMar>
              <w:top w:w="80" w:type="dxa"/>
              <w:start w:w="120" w:type="dxa"/>
              <w:bottom w:w="80" w:type="dxa"/>
              <w:end w:w="120" w:type="dxa"/>
            </w:tcMar>
            <w:vAlign w:val="center"/>
          </w:tcPr>
          <w:p>
            <w:pPr>
              <w:spacing w:before="0" w:after="0" w:line="252" w:lineRule="auto"/>
              <w:jc w:val="center"/>
            </w:pPr>
            <w:r>
              <w:rPr>
                <w:rFonts w:ascii="Calibri" w:hAnsi="Calibri"/>
                <w:color w:val="000000"/>
                <w:sz w:val="17"/>
              </w:rPr>
              <w:t>5</w:t>
            </w:r>
          </w:p>
        </w:tc>
        <w:tc>
          <w:tcPr>
            <w:tcW w:type="dxa" w:w="1360"/>
            <w:tcMar>
              <w:top w:w="80" w:type="dxa"/>
              <w:start w:w="120" w:type="dxa"/>
              <w:bottom w:w="80" w:type="dxa"/>
              <w:end w:w="120" w:type="dxa"/>
            </w:tcMar>
            <w:vAlign w:val="center"/>
          </w:tcPr>
          <w:p>
            <w:pPr>
              <w:spacing w:before="0" w:after="0" w:line="252" w:lineRule="auto"/>
              <w:jc w:val="center"/>
            </w:pPr>
            <w:r>
              <w:rPr>
                <w:rFonts w:ascii="Calibri" w:hAnsi="Calibri"/>
                <w:color w:val="000000"/>
                <w:sz w:val="17"/>
              </w:rPr>
              <w:t>5</w:t>
            </w:r>
          </w:p>
        </w:tc>
        <w:tc>
          <w:tcPr>
            <w:tcW w:type="dxa" w:w="1360"/>
            <w:tcMar>
              <w:top w:w="80" w:type="dxa"/>
              <w:start w:w="120" w:type="dxa"/>
              <w:bottom w:w="80" w:type="dxa"/>
              <w:end w:w="120" w:type="dxa"/>
            </w:tcMar>
            <w:vAlign w:val="center"/>
          </w:tcPr>
          <w:p>
            <w:pPr>
              <w:spacing w:before="0" w:after="0" w:line="252" w:lineRule="auto"/>
              <w:jc w:val="center"/>
            </w:pPr>
            <w:r>
              <w:rPr>
                <w:rFonts w:ascii="Calibri" w:hAnsi="Calibri"/>
                <w:color w:val="000000"/>
                <w:sz w:val="17"/>
              </w:rPr>
              <w:t>3</w:t>
            </w:r>
          </w:p>
        </w:tc>
        <w:tc>
          <w:tcPr>
            <w:tcW w:type="dxa" w:w="1360"/>
            <w:tcMar>
              <w:top w:w="80" w:type="dxa"/>
              <w:start w:w="120" w:type="dxa"/>
              <w:bottom w:w="80" w:type="dxa"/>
              <w:end w:w="120" w:type="dxa"/>
            </w:tcMar>
            <w:vAlign w:val="center"/>
          </w:tcPr>
          <w:p>
            <w:pPr>
              <w:spacing w:before="0" w:after="0" w:line="252" w:lineRule="auto"/>
              <w:jc w:val="center"/>
            </w:pPr>
            <w:r>
              <w:rPr>
                <w:rFonts w:ascii="Calibri" w:hAnsi="Calibri"/>
                <w:color w:val="000000"/>
                <w:sz w:val="17"/>
              </w:rPr>
              <w:t>3</w:t>
            </w:r>
          </w:p>
        </w:tc>
      </w:tr>
    </w:tbl>
    <w:p>
      <w:pPr>
        <w:spacing w:before="0" w:after="120" w:line="300" w:lineRule="auto"/>
      </w:pPr>
      <w:r>
        <w:rPr>
          <w:rFonts w:ascii="Calibri" w:hAnsi="Calibri"/>
          <w:b w:val="0"/>
          <w:color w:val="000000"/>
          <w:sz w:val="20"/>
        </w:rPr>
        <w:t>Referenční srovnání: malý lektvar +3 Ž, běžný +6 Ž, velký +10 Ž. Počáteční postavy mají přibližně 12–19 Ž.</w:t>
      </w:r>
    </w:p>
    <w:p>
      <w:pPr>
        <w:pStyle w:val="ListBullet"/>
        <w:ind w:left="540" w:hanging="271"/>
      </w:pPr>
      <w:r>
        <w:rPr>
          <w:rFonts w:ascii="Calibri" w:hAnsi="Calibri"/>
          <w:color w:val="000000"/>
          <w:sz w:val="21"/>
        </w:rPr>
        <w:t xml:space="preserve"> Léčení (základ 4): léčitel 4 Ž, hraničář 3 Ž, kouzelník/bard 2 Ž, bojovník/zloděj 1 Ž.</w:t>
      </w:r>
    </w:p>
    <w:p>
      <w:pPr>
        <w:pStyle w:val="ListBullet"/>
        <w:ind w:left="540" w:hanging="271"/>
      </w:pPr>
      <w:r>
        <w:rPr>
          <w:rFonts w:ascii="Calibri" w:hAnsi="Calibri"/>
          <w:color w:val="000000"/>
          <w:sz w:val="21"/>
        </w:rPr>
        <w:t xml:space="preserve"> Hojivé světlo (základ 6): léčitel 6 Ž, tedy síla běžného lektvaru; ostatní povolání méně.</w:t>
      </w:r>
    </w:p>
    <w:p>
      <w:pPr>
        <w:pStyle w:val="ListBullet"/>
        <w:ind w:left="540" w:hanging="271"/>
      </w:pPr>
      <w:r>
        <w:rPr>
          <w:rFonts w:ascii="Calibri" w:hAnsi="Calibri"/>
          <w:color w:val="000000"/>
          <w:sz w:val="21"/>
        </w:rPr>
        <w:t xml:space="preserve"> Velké léčení (základ 10): léčitel 10 Ž, tedy síla velkého lektvaru, ale pouze 1× za dobrodružství.</w:t>
      </w:r>
    </w:p>
    <w:p>
      <w:pPr>
        <w:pStyle w:val="ListBullet"/>
        <w:ind w:left="540" w:hanging="271"/>
      </w:pPr>
      <w:r>
        <w:rPr>
          <w:rFonts w:ascii="Calibri" w:hAnsi="Calibri"/>
          <w:color w:val="000000"/>
          <w:sz w:val="21"/>
        </w:rPr>
        <w:t xml:space="preserve"> Každý sesilatel může za souboj použít nejvýše 1 kouzlo používající koeficient Léčení a obnovující Ž. Hromadné léčení i Regenerace limit spotřebují jednou při seslání.</w:t>
      </w:r>
    </w:p>
    <w:p>
      <w:pPr>
        <w:pStyle w:val="ListBullet"/>
        <w:ind w:left="540" w:hanging="271"/>
      </w:pPr>
      <w:r>
        <w:rPr>
          <w:rFonts w:ascii="Calibri" w:hAnsi="Calibri"/>
          <w:color w:val="000000"/>
          <w:sz w:val="21"/>
        </w:rPr>
        <w:t xml:space="preserve"> První pomoc povolání Léčitel, lektvar a vedlejší návrat Ž z Vysátí života nejsou léčivým kouzlem s koeficientem Léčení, takže společný limit nespotřebují.</w:t>
      </w:r>
    </w:p>
    <w:p>
      <w:r>
        <w:br w:type="page"/>
      </w:r>
    </w:p>
    <w:p>
      <w:pPr>
        <w:pStyle w:val="Heading2"/>
      </w:pPr>
      <w:r>
        <w:t>5.4 Kontrola ostatních povolání</w:t>
      </w:r>
    </w:p>
    <w:tbl>
      <w:tblPr>
        <w:tblW w:type="dxa" w:w="9360"/>
        <w:jc w:val="left"/>
        <w:tblLayout w:type="fixed"/>
        <w:tblLook w:firstColumn="1" w:firstRow="1" w:lastColumn="0" w:lastRow="0" w:noHBand="0" w:noVBand="1" w:val="04A0"/>
        <w:tblInd w:w="120" w:type="dxa"/>
        <w:tblBorders>
          <w:top w:val="single" w:sz="4" w:space="0" w:color="AAB7C4"/>
          <w:left w:val="single" w:sz="4" w:space="0" w:color="AAB7C4"/>
          <w:bottom w:val="single" w:sz="4" w:space="0" w:color="AAB7C4"/>
          <w:right w:val="single" w:sz="4" w:space="0" w:color="AAB7C4"/>
          <w:insideH w:val="single" w:sz="4" w:space="0" w:color="AAB7C4"/>
          <w:insideV w:val="single" w:sz="4" w:space="0" w:color="AAB7C4"/>
        </w:tblBorders>
      </w:tblPr>
      <w:tblGrid>
        <w:gridCol w:w="1600"/>
        <w:gridCol w:w="3000"/>
        <w:gridCol w:w="4760"/>
      </w:tblGrid>
      <w:tr>
        <w:trPr>
          <w:tblHeader w:val="true"/>
          <w:cantSplit/>
        </w:trPr>
        <w:tc>
          <w:tcPr>
            <w:tcW w:type="dxa" w:w="1600"/>
            <w:shd w:fill="E8EEF5"/>
            <w:tcMar>
              <w:top w:w="80" w:type="dxa"/>
              <w:start w:w="120" w:type="dxa"/>
              <w:bottom w:w="80" w:type="dxa"/>
              <w:end w:w="120" w:type="dxa"/>
            </w:tcMar>
            <w:vAlign w:val="center"/>
          </w:tcPr>
          <w:p>
            <w:pPr>
              <w:spacing w:before="0" w:after="0" w:line="240" w:lineRule="auto"/>
              <w:jc w:val="left"/>
            </w:pPr>
            <w:r>
              <w:rPr>
                <w:rFonts w:ascii="Calibri" w:hAnsi="Calibri"/>
                <w:b/>
                <w:color w:val="18324A"/>
                <w:sz w:val="18"/>
              </w:rPr>
              <w:t>Povolání</w:t>
            </w:r>
          </w:p>
        </w:tc>
        <w:tc>
          <w:tcPr>
            <w:tcW w:type="dxa" w:w="3000"/>
            <w:shd w:fill="E8EEF5"/>
            <w:tcMar>
              <w:top w:w="80" w:type="dxa"/>
              <w:start w:w="120" w:type="dxa"/>
              <w:bottom w:w="80" w:type="dxa"/>
              <w:end w:w="120" w:type="dxa"/>
            </w:tcMar>
            <w:vAlign w:val="center"/>
          </w:tcPr>
          <w:p>
            <w:pPr>
              <w:spacing w:before="0" w:after="0" w:line="240" w:lineRule="auto"/>
              <w:jc w:val="left"/>
            </w:pPr>
            <w:r>
              <w:rPr>
                <w:rFonts w:ascii="Calibri" w:hAnsi="Calibri"/>
                <w:b/>
                <w:color w:val="18324A"/>
                <w:sz w:val="18"/>
              </w:rPr>
              <w:t>Koeficienty</w:t>
            </w:r>
          </w:p>
        </w:tc>
        <w:tc>
          <w:tcPr>
            <w:tcW w:type="dxa" w:w="4760"/>
            <w:shd w:fill="E8EEF5"/>
            <w:tcMar>
              <w:top w:w="80" w:type="dxa"/>
              <w:start w:w="120" w:type="dxa"/>
              <w:bottom w:w="80" w:type="dxa"/>
              <w:end w:w="120" w:type="dxa"/>
            </w:tcMar>
            <w:vAlign w:val="center"/>
          </w:tcPr>
          <w:p>
            <w:pPr>
              <w:spacing w:before="0" w:after="0" w:line="240" w:lineRule="auto"/>
              <w:jc w:val="left"/>
            </w:pPr>
            <w:r>
              <w:rPr>
                <w:rFonts w:ascii="Calibri" w:hAnsi="Calibri"/>
                <w:b/>
                <w:color w:val="18324A"/>
                <w:sz w:val="18"/>
              </w:rPr>
              <w:t>Výsledek</w:t>
            </w:r>
          </w:p>
        </w:tc>
      </w:tr>
      <w:tr>
        <w:trPr>
          <w:cantSplit/>
        </w:trPr>
        <w:tc>
          <w:tcPr>
            <w:tcW w:type="dxa" w:w="1600"/>
            <w:tcMar>
              <w:top w:w="80" w:type="dxa"/>
              <w:start w:w="120" w:type="dxa"/>
              <w:bottom w:w="80" w:type="dxa"/>
              <w:end w:w="120" w:type="dxa"/>
            </w:tcMar>
            <w:vAlign w:val="center"/>
          </w:tcPr>
          <w:p>
            <w:pPr>
              <w:spacing w:before="0" w:after="0" w:line="252" w:lineRule="auto"/>
              <w:jc w:val="left"/>
            </w:pPr>
            <w:r>
              <w:rPr>
                <w:rFonts w:ascii="Calibri" w:hAnsi="Calibri"/>
                <w:color w:val="000000"/>
                <w:sz w:val="18"/>
              </w:rPr>
              <w:t>Kouzelník</w:t>
            </w:r>
          </w:p>
        </w:tc>
        <w:tc>
          <w:tcPr>
            <w:tcW w:type="dxa" w:w="3000"/>
            <w:tcMar>
              <w:top w:w="80" w:type="dxa"/>
              <w:start w:w="120" w:type="dxa"/>
              <w:bottom w:w="80" w:type="dxa"/>
              <w:end w:w="120" w:type="dxa"/>
            </w:tcMar>
            <w:vAlign w:val="center"/>
          </w:tcPr>
          <w:p>
            <w:pPr>
              <w:spacing w:before="0" w:after="0" w:line="252" w:lineRule="auto"/>
              <w:jc w:val="left"/>
            </w:pPr>
            <w:r>
              <w:rPr>
                <w:rFonts w:ascii="Calibri" w:hAnsi="Calibri"/>
                <w:color w:val="000000"/>
                <w:sz w:val="18"/>
              </w:rPr>
              <w:t>plný útočný bonus; léčení 0,50</w:t>
            </w:r>
          </w:p>
        </w:tc>
        <w:tc>
          <w:tcPr>
            <w:tcW w:type="dxa" w:w="4760"/>
            <w:tcMar>
              <w:top w:w="80" w:type="dxa"/>
              <w:start w:w="120" w:type="dxa"/>
              <w:bottom w:w="80" w:type="dxa"/>
              <w:end w:w="120" w:type="dxa"/>
            </w:tcMar>
            <w:vAlign w:val="center"/>
          </w:tcPr>
          <w:p>
            <w:pPr>
              <w:spacing w:before="0" w:after="0" w:line="252" w:lineRule="auto"/>
              <w:jc w:val="left"/>
            </w:pPr>
            <w:r>
              <w:rPr>
                <w:rFonts w:ascii="Calibri" w:hAnsi="Calibri"/>
                <w:color w:val="000000"/>
                <w:sz w:val="18"/>
              </w:rPr>
              <w:t>nejlepší univerzální útočná magie</w:t>
            </w:r>
          </w:p>
        </w:tc>
      </w:tr>
      <w:tr>
        <w:trPr>
          <w:cantSplit/>
        </w:trPr>
        <w:tc>
          <w:tcPr>
            <w:tcW w:type="dxa" w:w="1600"/>
            <w:tcMar>
              <w:top w:w="80" w:type="dxa"/>
              <w:start w:w="120" w:type="dxa"/>
              <w:bottom w:w="80" w:type="dxa"/>
              <w:end w:w="120" w:type="dxa"/>
            </w:tcMar>
            <w:vAlign w:val="center"/>
          </w:tcPr>
          <w:p>
            <w:pPr>
              <w:spacing w:before="0" w:after="0" w:line="252" w:lineRule="auto"/>
              <w:jc w:val="left"/>
            </w:pPr>
            <w:r>
              <w:rPr>
                <w:rFonts w:ascii="Calibri" w:hAnsi="Calibri"/>
                <w:color w:val="000000"/>
                <w:sz w:val="18"/>
              </w:rPr>
              <w:t>Léčitel</w:t>
            </w:r>
          </w:p>
        </w:tc>
        <w:tc>
          <w:tcPr>
            <w:tcW w:type="dxa" w:w="3000"/>
            <w:tcMar>
              <w:top w:w="80" w:type="dxa"/>
              <w:start w:w="120" w:type="dxa"/>
              <w:bottom w:w="80" w:type="dxa"/>
              <w:end w:w="120" w:type="dxa"/>
            </w:tcMar>
            <w:vAlign w:val="center"/>
          </w:tcPr>
          <w:p>
            <w:pPr>
              <w:spacing w:before="0" w:after="0" w:line="252" w:lineRule="auto"/>
              <w:jc w:val="left"/>
            </w:pPr>
            <w:r>
              <w:rPr>
                <w:rFonts w:ascii="Calibri" w:hAnsi="Calibri"/>
                <w:color w:val="000000"/>
                <w:sz w:val="18"/>
              </w:rPr>
              <w:t>útočný bonus 0,75; léčení 1,00</w:t>
            </w:r>
          </w:p>
        </w:tc>
        <w:tc>
          <w:tcPr>
            <w:tcW w:type="dxa" w:w="4760"/>
            <w:tcMar>
              <w:top w:w="80" w:type="dxa"/>
              <w:start w:w="120" w:type="dxa"/>
              <w:bottom w:w="80" w:type="dxa"/>
              <w:end w:w="120" w:type="dxa"/>
            </w:tcMar>
            <w:vAlign w:val="center"/>
          </w:tcPr>
          <w:p>
            <w:pPr>
              <w:spacing w:before="0" w:after="0" w:line="252" w:lineRule="auto"/>
              <w:jc w:val="left"/>
            </w:pPr>
            <w:r>
              <w:rPr>
                <w:rFonts w:ascii="Calibri" w:hAnsi="Calibri"/>
                <w:color w:val="000000"/>
                <w:sz w:val="18"/>
              </w:rPr>
              <w:t>jednoznačně nejlepší léčivá magie</w:t>
            </w:r>
          </w:p>
        </w:tc>
      </w:tr>
      <w:tr>
        <w:trPr>
          <w:cantSplit/>
        </w:trPr>
        <w:tc>
          <w:tcPr>
            <w:tcW w:type="dxa" w:w="1600"/>
            <w:tcMar>
              <w:top w:w="80" w:type="dxa"/>
              <w:start w:w="120" w:type="dxa"/>
              <w:bottom w:w="80" w:type="dxa"/>
              <w:end w:w="120" w:type="dxa"/>
            </w:tcMar>
            <w:vAlign w:val="center"/>
          </w:tcPr>
          <w:p>
            <w:pPr>
              <w:spacing w:before="0" w:after="0" w:line="252" w:lineRule="auto"/>
              <w:jc w:val="left"/>
            </w:pPr>
            <w:r>
              <w:rPr>
                <w:rFonts w:ascii="Calibri" w:hAnsi="Calibri"/>
                <w:color w:val="000000"/>
                <w:sz w:val="18"/>
              </w:rPr>
              <w:t>Hraničář</w:t>
            </w:r>
          </w:p>
        </w:tc>
        <w:tc>
          <w:tcPr>
            <w:tcW w:type="dxa" w:w="3000"/>
            <w:tcMar>
              <w:top w:w="80" w:type="dxa"/>
              <w:start w:w="120" w:type="dxa"/>
              <w:bottom w:w="80" w:type="dxa"/>
              <w:end w:w="120" w:type="dxa"/>
            </w:tcMar>
            <w:vAlign w:val="center"/>
          </w:tcPr>
          <w:p>
            <w:pPr>
              <w:spacing w:before="0" w:after="0" w:line="252" w:lineRule="auto"/>
              <w:jc w:val="left"/>
            </w:pPr>
            <w:r>
              <w:rPr>
                <w:rFonts w:ascii="Calibri" w:hAnsi="Calibri"/>
                <w:color w:val="000000"/>
                <w:sz w:val="18"/>
              </w:rPr>
              <w:t>útočný i léčivý koeficient 0,75</w:t>
            </w:r>
          </w:p>
        </w:tc>
        <w:tc>
          <w:tcPr>
            <w:tcW w:type="dxa" w:w="4760"/>
            <w:tcMar>
              <w:top w:w="80" w:type="dxa"/>
              <w:start w:w="120" w:type="dxa"/>
              <w:bottom w:w="80" w:type="dxa"/>
              <w:end w:w="120" w:type="dxa"/>
            </w:tcMar>
            <w:vAlign w:val="center"/>
          </w:tcPr>
          <w:p>
            <w:pPr>
              <w:spacing w:before="0" w:after="0" w:line="252" w:lineRule="auto"/>
              <w:jc w:val="left"/>
            </w:pPr>
            <w:r>
              <w:rPr>
                <w:rFonts w:ascii="Calibri" w:hAnsi="Calibri"/>
                <w:color w:val="000000"/>
                <w:sz w:val="18"/>
              </w:rPr>
              <w:t>dobrý u Přírodní magie, ale bez bonusu za afinitu</w:t>
            </w:r>
          </w:p>
        </w:tc>
      </w:tr>
      <w:tr>
        <w:trPr>
          <w:cantSplit/>
        </w:trPr>
        <w:tc>
          <w:tcPr>
            <w:tcW w:type="dxa" w:w="1600"/>
            <w:tcMar>
              <w:top w:w="80" w:type="dxa"/>
              <w:start w:w="120" w:type="dxa"/>
              <w:bottom w:w="80" w:type="dxa"/>
              <w:end w:w="120" w:type="dxa"/>
            </w:tcMar>
            <w:vAlign w:val="center"/>
          </w:tcPr>
          <w:p>
            <w:pPr>
              <w:spacing w:before="0" w:after="0" w:line="252" w:lineRule="auto"/>
              <w:jc w:val="left"/>
            </w:pPr>
            <w:r>
              <w:rPr>
                <w:rFonts w:ascii="Calibri" w:hAnsi="Calibri"/>
                <w:color w:val="000000"/>
                <w:sz w:val="18"/>
              </w:rPr>
              <w:t>Bard</w:t>
            </w:r>
          </w:p>
        </w:tc>
        <w:tc>
          <w:tcPr>
            <w:tcW w:type="dxa" w:w="3000"/>
            <w:tcMar>
              <w:top w:w="80" w:type="dxa"/>
              <w:start w:w="120" w:type="dxa"/>
              <w:bottom w:w="80" w:type="dxa"/>
              <w:end w:w="120" w:type="dxa"/>
            </w:tcMar>
            <w:vAlign w:val="center"/>
          </w:tcPr>
          <w:p>
            <w:pPr>
              <w:spacing w:before="0" w:after="0" w:line="252" w:lineRule="auto"/>
              <w:jc w:val="left"/>
            </w:pPr>
            <w:r>
              <w:rPr>
                <w:rFonts w:ascii="Calibri" w:hAnsi="Calibri"/>
                <w:color w:val="000000"/>
                <w:sz w:val="18"/>
              </w:rPr>
              <w:t>útočný i léčivý koeficient 0,50</w:t>
            </w:r>
          </w:p>
        </w:tc>
        <w:tc>
          <w:tcPr>
            <w:tcW w:type="dxa" w:w="4760"/>
            <w:tcMar>
              <w:top w:w="80" w:type="dxa"/>
              <w:start w:w="120" w:type="dxa"/>
              <w:bottom w:w="80" w:type="dxa"/>
              <w:end w:w="120" w:type="dxa"/>
            </w:tcMar>
            <w:vAlign w:val="center"/>
          </w:tcPr>
          <w:p>
            <w:pPr>
              <w:spacing w:before="0" w:after="0" w:line="252" w:lineRule="auto"/>
              <w:jc w:val="left"/>
            </w:pPr>
            <w:r>
              <w:rPr>
                <w:rFonts w:ascii="Calibri" w:hAnsi="Calibri"/>
                <w:color w:val="000000"/>
                <w:sz w:val="18"/>
              </w:rPr>
              <w:t>použitelná podpůrná magie</w:t>
            </w:r>
          </w:p>
        </w:tc>
      </w:tr>
      <w:tr>
        <w:trPr>
          <w:cantSplit/>
        </w:trPr>
        <w:tc>
          <w:tcPr>
            <w:tcW w:type="dxa" w:w="1600"/>
            <w:tcMar>
              <w:top w:w="80" w:type="dxa"/>
              <w:start w:w="120" w:type="dxa"/>
              <w:bottom w:w="80" w:type="dxa"/>
              <w:end w:w="120" w:type="dxa"/>
            </w:tcMar>
            <w:vAlign w:val="center"/>
          </w:tcPr>
          <w:p>
            <w:pPr>
              <w:spacing w:before="0" w:after="0" w:line="252" w:lineRule="auto"/>
              <w:jc w:val="left"/>
            </w:pPr>
            <w:r>
              <w:rPr>
                <w:rFonts w:ascii="Calibri" w:hAnsi="Calibri"/>
                <w:color w:val="000000"/>
                <w:sz w:val="18"/>
              </w:rPr>
              <w:t>Zloděj</w:t>
            </w:r>
          </w:p>
        </w:tc>
        <w:tc>
          <w:tcPr>
            <w:tcW w:type="dxa" w:w="3000"/>
            <w:tcMar>
              <w:top w:w="80" w:type="dxa"/>
              <w:start w:w="120" w:type="dxa"/>
              <w:bottom w:w="80" w:type="dxa"/>
              <w:end w:w="120" w:type="dxa"/>
            </w:tcMar>
            <w:vAlign w:val="center"/>
          </w:tcPr>
          <w:p>
            <w:pPr>
              <w:spacing w:before="0" w:after="0" w:line="252" w:lineRule="auto"/>
              <w:jc w:val="left"/>
            </w:pPr>
            <w:r>
              <w:rPr>
                <w:rFonts w:ascii="Calibri" w:hAnsi="Calibri"/>
                <w:color w:val="000000"/>
                <w:sz w:val="18"/>
              </w:rPr>
              <w:t>útočný 0,50; léčení 0,25</w:t>
            </w:r>
          </w:p>
        </w:tc>
        <w:tc>
          <w:tcPr>
            <w:tcW w:type="dxa" w:w="4760"/>
            <w:tcMar>
              <w:top w:w="80" w:type="dxa"/>
              <w:start w:w="120" w:type="dxa"/>
              <w:bottom w:w="80" w:type="dxa"/>
              <w:end w:w="120" w:type="dxa"/>
            </w:tcMar>
            <w:vAlign w:val="center"/>
          </w:tcPr>
          <w:p>
            <w:pPr>
              <w:spacing w:before="0" w:after="0" w:line="252" w:lineRule="auto"/>
              <w:jc w:val="left"/>
            </w:pPr>
            <w:r>
              <w:rPr>
                <w:rFonts w:ascii="Calibri" w:hAnsi="Calibri"/>
                <w:color w:val="000000"/>
                <w:sz w:val="18"/>
              </w:rPr>
              <w:t>užitková magie je dostupná, léčení velmi slabé</w:t>
            </w:r>
          </w:p>
        </w:tc>
      </w:tr>
      <w:tr>
        <w:trPr>
          <w:cantSplit/>
        </w:trPr>
        <w:tc>
          <w:tcPr>
            <w:tcW w:type="dxa" w:w="1600"/>
            <w:tcMar>
              <w:top w:w="80" w:type="dxa"/>
              <w:start w:w="120" w:type="dxa"/>
              <w:bottom w:w="80" w:type="dxa"/>
              <w:end w:w="120" w:type="dxa"/>
            </w:tcMar>
            <w:vAlign w:val="center"/>
          </w:tcPr>
          <w:p>
            <w:pPr>
              <w:spacing w:before="0" w:after="0" w:line="252" w:lineRule="auto"/>
              <w:jc w:val="left"/>
            </w:pPr>
            <w:r>
              <w:rPr>
                <w:rFonts w:ascii="Calibri" w:hAnsi="Calibri"/>
                <w:color w:val="000000"/>
                <w:sz w:val="18"/>
              </w:rPr>
              <w:t>Bojovník</w:t>
            </w:r>
          </w:p>
        </w:tc>
        <w:tc>
          <w:tcPr>
            <w:tcW w:type="dxa" w:w="3000"/>
            <w:tcMar>
              <w:top w:w="80" w:type="dxa"/>
              <w:start w:w="120" w:type="dxa"/>
              <w:bottom w:w="80" w:type="dxa"/>
              <w:end w:w="120" w:type="dxa"/>
            </w:tcMar>
            <w:vAlign w:val="center"/>
          </w:tcPr>
          <w:p>
            <w:pPr>
              <w:spacing w:before="0" w:after="0" w:line="252" w:lineRule="auto"/>
              <w:jc w:val="left"/>
            </w:pPr>
            <w:r>
              <w:rPr>
                <w:rFonts w:ascii="Calibri" w:hAnsi="Calibri"/>
                <w:color w:val="000000"/>
                <w:sz w:val="18"/>
              </w:rPr>
              <w:t>útočný i léčivý 0,25</w:t>
            </w:r>
          </w:p>
        </w:tc>
        <w:tc>
          <w:tcPr>
            <w:tcW w:type="dxa" w:w="4760"/>
            <w:tcMar>
              <w:top w:w="80" w:type="dxa"/>
              <w:start w:w="120" w:type="dxa"/>
              <w:bottom w:w="80" w:type="dxa"/>
              <w:end w:w="120" w:type="dxa"/>
            </w:tcMar>
            <w:vAlign w:val="center"/>
          </w:tcPr>
          <w:p>
            <w:pPr>
              <w:spacing w:before="0" w:after="0" w:line="252" w:lineRule="auto"/>
              <w:jc w:val="left"/>
            </w:pPr>
            <w:r>
              <w:rPr>
                <w:rFonts w:ascii="Calibri" w:hAnsi="Calibri"/>
                <w:color w:val="000000"/>
                <w:sz w:val="18"/>
              </w:rPr>
              <w:t>kouzlo může získat, ale silné číselné účinky jsou výrazně slabší</w:t>
            </w:r>
          </w:p>
        </w:tc>
      </w:tr>
    </w:tbl>
    <w:p>
      <w:pPr>
        <w:pStyle w:val="Heading2"/>
      </w:pPr>
      <w:r>
        <w:t>5.5 Kontrola Hvězdné magie</w:t>
      </w:r>
    </w:p>
    <w:p>
      <w:pPr>
        <w:pStyle w:val="ListBullet"/>
        <w:ind w:left="540" w:hanging="271"/>
      </w:pPr>
      <w:r>
        <w:rPr>
          <w:rFonts w:ascii="Calibri" w:hAnsi="Calibri"/>
          <w:color w:val="000000"/>
          <w:sz w:val="21"/>
        </w:rPr>
        <w:t xml:space="preserve"> Nejnižší požadavek je CH 14 a Level 12; žádná začínající postava jej nesplní.</w:t>
      </w:r>
    </w:p>
    <w:p>
      <w:pPr>
        <w:pStyle w:val="ListBullet"/>
        <w:ind w:left="540" w:hanging="271"/>
      </w:pPr>
      <w:r>
        <w:rPr>
          <w:rFonts w:ascii="Calibri" w:hAnsi="Calibri"/>
          <w:color w:val="000000"/>
          <w:sz w:val="21"/>
        </w:rPr>
        <w:t xml:space="preserve"> Elfí kouzelník začíná na CH 10 a může dosáhnout CH 14 nejdříve na Levelu 5, pokud všechny levelové body do té doby vloží do Chytrosti; Min. Level 12 proto Hvězdnou magii stále bezpečně odkládá.</w:t>
      </w:r>
    </w:p>
    <w:p>
      <w:pPr>
        <w:pStyle w:val="ListBullet"/>
        <w:ind w:left="540" w:hanging="271"/>
      </w:pPr>
      <w:r>
        <w:rPr>
          <w:rFonts w:ascii="Calibri" w:hAnsi="Calibri"/>
          <w:color w:val="000000"/>
          <w:sz w:val="21"/>
        </w:rPr>
        <w:t xml:space="preserve"> Nejsilnější bojový efekt je plošný bonus +6, ale pouze 1× za dobrodružství a při CH 16 / Levelu 16.</w:t>
      </w:r>
    </w:p>
    <w:p>
      <w:pPr>
        <w:pStyle w:val="ListBullet"/>
        <w:ind w:left="540" w:hanging="271"/>
      </w:pPr>
      <w:r>
        <w:rPr>
          <w:rFonts w:ascii="Calibri" w:hAnsi="Calibri"/>
          <w:color w:val="000000"/>
          <w:sz w:val="21"/>
        </w:rPr>
        <w:t xml:space="preserve"> Kouzla měnící čas, vzkříšení a realitu jsou omezena na 1× za dobrodružství nebo 1× za kampaň a vyžadují konkrétní znalost.</w:t>
      </w:r>
    </w:p>
    <w:p>
      <w:pPr>
        <w:pStyle w:val="ListBullet"/>
        <w:ind w:left="540" w:hanging="271"/>
      </w:pPr>
      <w:r>
        <w:rPr>
          <w:rFonts w:ascii="Calibri" w:hAnsi="Calibri"/>
          <w:color w:val="000000"/>
          <w:sz w:val="21"/>
        </w:rPr>
        <w:t xml:space="preserve"> Běžná teleportace není ve Hvězdné magii; zůstává ve Vzduchu. Brána mezi světy je odlišný mezisvětový rituál.</w:t>
      </w:r>
    </w:p>
    <w:p>
      <w:r>
        <w:br w:type="page"/>
      </w:r>
    </w:p>
    <w:p>
      <w:pPr>
        <w:pStyle w:val="Heading1"/>
      </w:pPr>
      <w:r>
        <w:t>6. Rozhraní s katalogem vybavení</w:t>
      </w:r>
    </w:p>
    <w:tbl>
      <w:tblPr>
        <w:tblW w:type="dxa" w:w="9360"/>
        <w:jc w:val="left"/>
        <w:tblLayout w:type="fixed"/>
        <w:tblLook w:firstColumn="1" w:firstRow="1" w:lastColumn="0" w:lastRow="0" w:noHBand="0" w:noVBand="1" w:val="04A0"/>
        <w:tblInd w:w="120" w:type="dxa"/>
        <w:tblBorders>
          <w:top w:val="single" w:sz="5" w:space="0" w:color="7FA37F"/>
          <w:left w:val="single" w:sz="5" w:space="0" w:color="7FA37F"/>
          <w:bottom w:val="single" w:sz="5" w:space="0" w:color="7FA37F"/>
          <w:right w:val="single" w:sz="5" w:space="0" w:color="7FA37F"/>
          <w:insideH w:val="single" w:sz="5" w:space="0" w:color="7FA37F"/>
          <w:insideV w:val="single" w:sz="5" w:space="0" w:color="7FA37F"/>
        </w:tblBorders>
      </w:tblPr>
      <w:tblGrid>
        <w:gridCol w:w="9360"/>
      </w:tblGrid>
      <w:tr>
        <w:tc>
          <w:tcPr>
            <w:tcW w:type="dxa" w:w="9360"/>
            <w:shd w:fill="EAF4EA"/>
            <w:tcMar>
              <w:top w:w="130" w:type="dxa"/>
              <w:start w:w="180" w:type="dxa"/>
              <w:bottom w:w="130" w:type="dxa"/>
              <w:end w:w="180" w:type="dxa"/>
            </w:tcMar>
          </w:tcPr>
          <w:p>
            <w:pPr>
              <w:spacing w:after="0" w:line="288" w:lineRule="auto"/>
            </w:pPr>
            <w:r>
              <w:rPr>
                <w:rFonts w:ascii="Calibri" w:hAnsi="Calibri"/>
                <w:b/>
                <w:color w:val="18324A"/>
                <w:sz w:val="21"/>
              </w:rPr>
              <w:t xml:space="preserve">SCHVÁLENO – společné pořadí výpočtu: </w:t>
            </w:r>
            <w:r>
              <w:rPr>
                <w:rFonts w:ascii="Calibri" w:hAnsi="Calibri"/>
                <w:color w:val="000000"/>
                <w:sz w:val="21"/>
              </w:rPr>
              <w:t>Základní bonus běžné zbraně, zbroje nebo štítu upravuje příslušný koeficient povolání. Každý samostatně uvedený dodatečný bonus vybavení se koeficientem nenásobí a přičítá se až po výpočtu a zaokrouhlení základu. Všechny použitelné dodatečné bonusy aktivních předmětů se sčítají bez pevného limitu. Počet aktivních předmětů omezují sloty Hlava, Krk, Plášť, Tělo, Ruce, Prsten 1, Prsten 2, Hlavní ruka, Druhá ruka, Pas a Nohy.</w:t>
            </w:r>
          </w:p>
        </w:tc>
      </w:tr>
    </w:tbl>
    <w:p>
      <w:pPr>
        <w:spacing w:after="20"/>
      </w:pPr>
    </w:p>
    <w:p>
      <w:pPr>
        <w:spacing w:before="0" w:after="120" w:line="300" w:lineRule="auto"/>
      </w:pPr>
      <w:r>
        <w:rPr>
          <w:rFonts w:ascii="Calibri" w:hAnsi="Calibri"/>
          <w:b w:val="0"/>
          <w:color w:val="000000"/>
          <w:sz w:val="21"/>
        </w:rPr>
        <w:t>Koeficient Magie upravuje pouze bonus kouzla z katalogu a koeficient Léčení pouze základ léčení kouzla. Dodatečné bonusy vybavení +MÚ, +MO, +FO a +1 k léčení se těmito koeficienty nenásobí. Bonus k vlastnosti nejprve zvýší samotnou vlastnost.</w:t>
      </w:r>
    </w:p>
    <w:tbl>
      <w:tblPr>
        <w:tblW w:type="dxa" w:w="9360"/>
        <w:jc w:val="left"/>
        <w:tblLayout w:type="fixed"/>
        <w:tblLook w:firstColumn="1" w:firstRow="1" w:lastColumn="0" w:lastRow="0" w:noHBand="0" w:noVBand="1" w:val="04A0"/>
        <w:tblInd w:w="120" w:type="dxa"/>
        <w:tblBorders>
          <w:top w:val="single" w:sz="4" w:space="0" w:color="AAB7C4"/>
          <w:left w:val="single" w:sz="4" w:space="0" w:color="AAB7C4"/>
          <w:bottom w:val="single" w:sz="4" w:space="0" w:color="AAB7C4"/>
          <w:right w:val="single" w:sz="4" w:space="0" w:color="AAB7C4"/>
          <w:insideH w:val="single" w:sz="4" w:space="0" w:color="AAB7C4"/>
          <w:insideV w:val="single" w:sz="4" w:space="0" w:color="AAB7C4"/>
        </w:tblBorders>
      </w:tblPr>
      <w:tblGrid>
        <w:gridCol w:w="2200"/>
        <w:gridCol w:w="5480"/>
        <w:gridCol w:w="1680"/>
      </w:tblGrid>
      <w:tr>
        <w:trPr>
          <w:tblHeader w:val="true"/>
          <w:cantSplit/>
        </w:trPr>
        <w:tc>
          <w:tcPr>
            <w:tcW w:type="dxa" w:w="2200"/>
            <w:shd w:fill="E8EEF5"/>
            <w:tcMar>
              <w:top w:w="80" w:type="dxa"/>
              <w:start w:w="120" w:type="dxa"/>
              <w:bottom w:w="80" w:type="dxa"/>
              <w:end w:w="120" w:type="dxa"/>
            </w:tcMar>
            <w:vAlign w:val="center"/>
          </w:tcPr>
          <w:p>
            <w:pPr>
              <w:spacing w:before="0" w:after="0" w:line="240" w:lineRule="auto"/>
              <w:jc w:val="left"/>
            </w:pPr>
            <w:r>
              <w:rPr>
                <w:rFonts w:ascii="Calibri" w:hAnsi="Calibri"/>
                <w:b/>
                <w:color w:val="18324A"/>
                <w:sz w:val="16"/>
              </w:rPr>
              <w:t>Vazba Magie ↔ Vybavení</w:t>
            </w:r>
          </w:p>
        </w:tc>
        <w:tc>
          <w:tcPr>
            <w:tcW w:type="dxa" w:w="5480"/>
            <w:shd w:fill="E8EEF5"/>
            <w:tcMar>
              <w:top w:w="80" w:type="dxa"/>
              <w:start w:w="120" w:type="dxa"/>
              <w:bottom w:w="80" w:type="dxa"/>
              <w:end w:w="120" w:type="dxa"/>
            </w:tcMar>
            <w:vAlign w:val="center"/>
          </w:tcPr>
          <w:p>
            <w:pPr>
              <w:spacing w:before="0" w:after="0" w:line="240" w:lineRule="auto"/>
              <w:jc w:val="left"/>
            </w:pPr>
            <w:r>
              <w:rPr>
                <w:rFonts w:ascii="Calibri" w:hAnsi="Calibri"/>
                <w:b/>
                <w:color w:val="18324A"/>
                <w:sz w:val="16"/>
              </w:rPr>
              <w:t>Definitivní pravidlo</w:t>
            </w:r>
          </w:p>
        </w:tc>
        <w:tc>
          <w:tcPr>
            <w:tcW w:type="dxa" w:w="1680"/>
            <w:shd w:fill="E8EEF5"/>
            <w:tcMar>
              <w:top w:w="80" w:type="dxa"/>
              <w:start w:w="120" w:type="dxa"/>
              <w:bottom w:w="80" w:type="dxa"/>
              <w:end w:w="120" w:type="dxa"/>
            </w:tcMar>
            <w:vAlign w:val="center"/>
          </w:tcPr>
          <w:p>
            <w:pPr>
              <w:spacing w:before="0" w:after="0" w:line="240" w:lineRule="auto"/>
              <w:jc w:val="center"/>
            </w:pPr>
            <w:r>
              <w:rPr>
                <w:rFonts w:ascii="Calibri" w:hAnsi="Calibri"/>
                <w:b/>
                <w:color w:val="18324A"/>
                <w:sz w:val="16"/>
              </w:rPr>
              <w:t>Stav</w:t>
            </w:r>
          </w:p>
        </w:tc>
      </w:tr>
      <w:tr>
        <w:trPr>
          <w:cantSplit/>
        </w:trPr>
        <w:tc>
          <w:tcPr>
            <w:tcW w:type="dxa" w:w="2200"/>
            <w:shd w:fill="EAF4EA"/>
            <w:tcMar>
              <w:top w:w="80" w:type="dxa"/>
              <w:start w:w="120" w:type="dxa"/>
              <w:bottom w:w="80" w:type="dxa"/>
              <w:end w:w="120" w:type="dxa"/>
            </w:tcMar>
            <w:vAlign w:val="center"/>
          </w:tcPr>
          <w:p>
            <w:pPr>
              <w:spacing w:before="0" w:after="0" w:line="252" w:lineRule="auto"/>
              <w:jc w:val="left"/>
            </w:pPr>
            <w:r>
              <w:rPr>
                <w:rFonts w:ascii="Calibri" w:hAnsi="Calibri"/>
                <w:color w:val="000000"/>
                <w:sz w:val="16"/>
              </w:rPr>
              <w:t>+1 ke škole magie</w:t>
            </w:r>
          </w:p>
        </w:tc>
        <w:tc>
          <w:tcPr>
            <w:tcW w:type="dxa" w:w="5480"/>
            <w:shd w:fill="EAF4EA"/>
            <w:tcMar>
              <w:top w:w="80" w:type="dxa"/>
              <w:start w:w="120" w:type="dxa"/>
              <w:bottom w:w="80" w:type="dxa"/>
              <w:end w:w="120" w:type="dxa"/>
            </w:tcMar>
            <w:vAlign w:val="center"/>
          </w:tcPr>
          <w:p>
            <w:pPr>
              <w:spacing w:before="0" w:after="0" w:line="252" w:lineRule="auto"/>
              <w:jc w:val="left"/>
            </w:pPr>
            <w:r>
              <w:rPr>
                <w:rFonts w:ascii="Calibri" w:hAnsi="Calibri"/>
                <w:color w:val="000000"/>
                <w:sz w:val="16"/>
              </w:rPr>
              <w:t>+1 MÚ při sesílání kouzla dané školy; přičte se po koeficientu Magie. Více použitelných předmětů se sečte.</w:t>
            </w:r>
          </w:p>
        </w:tc>
        <w:tc>
          <w:tcPr>
            <w:tcW w:type="dxa" w:w="1680"/>
            <w:shd w:fill="EAF4EA"/>
            <w:tcMar>
              <w:top w:w="80" w:type="dxa"/>
              <w:start w:w="120" w:type="dxa"/>
              <w:bottom w:w="80" w:type="dxa"/>
              <w:end w:w="120" w:type="dxa"/>
            </w:tcMar>
            <w:vAlign w:val="center"/>
          </w:tcPr>
          <w:p>
            <w:pPr>
              <w:spacing w:before="0" w:after="0" w:line="252" w:lineRule="auto"/>
              <w:jc w:val="center"/>
            </w:pPr>
            <w:r>
              <w:rPr>
                <w:rFonts w:ascii="Calibri" w:hAnsi="Calibri"/>
                <w:color w:val="000000"/>
                <w:sz w:val="16"/>
              </w:rPr>
              <w:t>SCHVÁLENO</w:t>
            </w:r>
          </w:p>
        </w:tc>
      </w:tr>
      <w:tr>
        <w:trPr>
          <w:cantSplit/>
        </w:trPr>
        <w:tc>
          <w:tcPr>
            <w:tcW w:type="dxa" w:w="2200"/>
            <w:shd w:fill="EAF4EA"/>
            <w:tcMar>
              <w:top w:w="80" w:type="dxa"/>
              <w:start w:w="120" w:type="dxa"/>
              <w:bottom w:w="80" w:type="dxa"/>
              <w:end w:w="120" w:type="dxa"/>
            </w:tcMar>
            <w:vAlign w:val="center"/>
          </w:tcPr>
          <w:p>
            <w:pPr>
              <w:spacing w:before="0" w:after="0" w:line="252" w:lineRule="auto"/>
              <w:jc w:val="left"/>
            </w:pPr>
            <w:r>
              <w:rPr>
                <w:rFonts w:ascii="Calibri" w:hAnsi="Calibri"/>
                <w:color w:val="000000"/>
                <w:sz w:val="16"/>
              </w:rPr>
              <w:t>+1 k léčení</w:t>
            </w:r>
          </w:p>
        </w:tc>
        <w:tc>
          <w:tcPr>
            <w:tcW w:type="dxa" w:w="5480"/>
            <w:shd w:fill="EAF4EA"/>
            <w:tcMar>
              <w:top w:w="80" w:type="dxa"/>
              <w:start w:w="120" w:type="dxa"/>
              <w:bottom w:w="80" w:type="dxa"/>
              <w:end w:w="120" w:type="dxa"/>
            </w:tcMar>
            <w:vAlign w:val="center"/>
          </w:tcPr>
          <w:p>
            <w:pPr>
              <w:spacing w:before="0" w:after="0" w:line="252" w:lineRule="auto"/>
              <w:jc w:val="left"/>
            </w:pPr>
            <w:r>
              <w:rPr>
                <w:rFonts w:ascii="Calibri" w:hAnsi="Calibri"/>
                <w:color w:val="000000"/>
                <w:sz w:val="16"/>
              </w:rPr>
              <w:t>+1 Ž k celkovému výsledku jednoho seslání po koeficientu a zaokrouhlení. U více cílů získá tento bod jeden zvolený cíl; u léčení v čase se přidá k prvnímu obnovení.</w:t>
            </w:r>
          </w:p>
        </w:tc>
        <w:tc>
          <w:tcPr>
            <w:tcW w:type="dxa" w:w="1680"/>
            <w:shd w:fill="EAF4EA"/>
            <w:tcMar>
              <w:top w:w="80" w:type="dxa"/>
              <w:start w:w="120" w:type="dxa"/>
              <w:bottom w:w="80" w:type="dxa"/>
              <w:end w:w="120" w:type="dxa"/>
            </w:tcMar>
            <w:vAlign w:val="center"/>
          </w:tcPr>
          <w:p>
            <w:pPr>
              <w:spacing w:before="0" w:after="0" w:line="252" w:lineRule="auto"/>
              <w:jc w:val="center"/>
            </w:pPr>
            <w:r>
              <w:rPr>
                <w:rFonts w:ascii="Calibri" w:hAnsi="Calibri"/>
                <w:color w:val="000000"/>
                <w:sz w:val="16"/>
              </w:rPr>
              <w:t>SCHVÁLENO</w:t>
            </w:r>
          </w:p>
        </w:tc>
      </w:tr>
      <w:tr>
        <w:trPr>
          <w:cantSplit/>
        </w:trPr>
        <w:tc>
          <w:tcPr>
            <w:tcW w:type="dxa" w:w="2200"/>
            <w:shd w:fill="EAF4EA"/>
            <w:tcMar>
              <w:top w:w="80" w:type="dxa"/>
              <w:start w:w="120" w:type="dxa"/>
              <w:bottom w:w="80" w:type="dxa"/>
              <w:end w:w="120" w:type="dxa"/>
            </w:tcMar>
            <w:vAlign w:val="center"/>
          </w:tcPr>
          <w:p>
            <w:pPr>
              <w:spacing w:before="0" w:after="0" w:line="252" w:lineRule="auto"/>
              <w:jc w:val="left"/>
            </w:pPr>
            <w:r>
              <w:rPr>
                <w:rFonts w:ascii="Calibri" w:hAnsi="Calibri"/>
                <w:color w:val="000000"/>
                <w:sz w:val="16"/>
              </w:rPr>
              <w:t>Předmětové +CH → MÚ</w:t>
            </w:r>
          </w:p>
        </w:tc>
        <w:tc>
          <w:tcPr>
            <w:tcW w:type="dxa" w:w="5480"/>
            <w:shd w:fill="EAF4EA"/>
            <w:tcMar>
              <w:top w:w="80" w:type="dxa"/>
              <w:start w:w="120" w:type="dxa"/>
              <w:bottom w:w="80" w:type="dxa"/>
              <w:end w:w="120" w:type="dxa"/>
            </w:tcMar>
            <w:vAlign w:val="center"/>
          </w:tcPr>
          <w:p>
            <w:pPr>
              <w:spacing w:before="0" w:after="0" w:line="252" w:lineRule="auto"/>
              <w:jc w:val="left"/>
            </w:pPr>
            <w:r>
              <w:rPr>
                <w:rFonts w:ascii="Calibri" w:hAnsi="Calibri"/>
                <w:color w:val="000000"/>
                <w:sz w:val="16"/>
              </w:rPr>
              <w:t>Bonus přímo zvýší CH; zvýšená CH vstoupí do MÚ. Koeficient Magie se na bonus vlastnosti nepoužívá.</w:t>
            </w:r>
          </w:p>
        </w:tc>
        <w:tc>
          <w:tcPr>
            <w:tcW w:type="dxa" w:w="1680"/>
            <w:shd w:fill="EAF4EA"/>
            <w:tcMar>
              <w:top w:w="80" w:type="dxa"/>
              <w:start w:w="120" w:type="dxa"/>
              <w:bottom w:w="80" w:type="dxa"/>
              <w:end w:w="120" w:type="dxa"/>
            </w:tcMar>
            <w:vAlign w:val="center"/>
          </w:tcPr>
          <w:p>
            <w:pPr>
              <w:spacing w:before="0" w:after="0" w:line="252" w:lineRule="auto"/>
              <w:jc w:val="center"/>
            </w:pPr>
            <w:r>
              <w:rPr>
                <w:rFonts w:ascii="Calibri" w:hAnsi="Calibri"/>
                <w:color w:val="000000"/>
                <w:sz w:val="16"/>
              </w:rPr>
              <w:t>SCHVÁLENO</w:t>
            </w:r>
          </w:p>
        </w:tc>
      </w:tr>
      <w:tr>
        <w:trPr>
          <w:cantSplit/>
        </w:trPr>
        <w:tc>
          <w:tcPr>
            <w:tcW w:type="dxa" w:w="2200"/>
            <w:shd w:fill="EAF4EA"/>
            <w:tcMar>
              <w:top w:w="80" w:type="dxa"/>
              <w:start w:w="120" w:type="dxa"/>
              <w:bottom w:w="80" w:type="dxa"/>
              <w:end w:w="120" w:type="dxa"/>
            </w:tcMar>
            <w:vAlign w:val="center"/>
          </w:tcPr>
          <w:p>
            <w:pPr>
              <w:spacing w:before="0" w:after="0" w:line="252" w:lineRule="auto"/>
              <w:jc w:val="left"/>
            </w:pPr>
            <w:r>
              <w:rPr>
                <w:rFonts w:ascii="Calibri" w:hAnsi="Calibri"/>
                <w:color w:val="000000"/>
                <w:sz w:val="16"/>
              </w:rPr>
              <w:t>Předmětové +CH → MO</w:t>
            </w:r>
          </w:p>
        </w:tc>
        <w:tc>
          <w:tcPr>
            <w:tcW w:type="dxa" w:w="5480"/>
            <w:shd w:fill="EAF4EA"/>
            <w:tcMar>
              <w:top w:w="80" w:type="dxa"/>
              <w:start w:w="120" w:type="dxa"/>
              <w:bottom w:w="80" w:type="dxa"/>
              <w:end w:w="120" w:type="dxa"/>
            </w:tcMar>
            <w:vAlign w:val="center"/>
          </w:tcPr>
          <w:p>
            <w:pPr>
              <w:spacing w:before="0" w:after="0" w:line="252" w:lineRule="auto"/>
              <w:jc w:val="left"/>
            </w:pPr>
            <w:r>
              <w:rPr>
                <w:rFonts w:ascii="Calibri" w:hAnsi="Calibri"/>
                <w:color w:val="000000"/>
                <w:sz w:val="16"/>
              </w:rPr>
              <w:t>Bonus přímo zvýší CH; zvýšená CH vstoupí do MO. Koeficient se nepoužívá.</w:t>
            </w:r>
          </w:p>
        </w:tc>
        <w:tc>
          <w:tcPr>
            <w:tcW w:type="dxa" w:w="1680"/>
            <w:shd w:fill="EAF4EA"/>
            <w:tcMar>
              <w:top w:w="80" w:type="dxa"/>
              <w:start w:w="120" w:type="dxa"/>
              <w:bottom w:w="80" w:type="dxa"/>
              <w:end w:w="120" w:type="dxa"/>
            </w:tcMar>
            <w:vAlign w:val="center"/>
          </w:tcPr>
          <w:p>
            <w:pPr>
              <w:spacing w:before="0" w:after="0" w:line="252" w:lineRule="auto"/>
              <w:jc w:val="center"/>
            </w:pPr>
            <w:r>
              <w:rPr>
                <w:rFonts w:ascii="Calibri" w:hAnsi="Calibri"/>
                <w:color w:val="000000"/>
                <w:sz w:val="16"/>
              </w:rPr>
              <w:t>SCHVÁLENO</w:t>
            </w:r>
          </w:p>
        </w:tc>
      </w:tr>
      <w:tr>
        <w:trPr>
          <w:cantSplit/>
        </w:trPr>
        <w:tc>
          <w:tcPr>
            <w:tcW w:type="dxa" w:w="2200"/>
            <w:shd w:fill="EAF4EA"/>
            <w:tcMar>
              <w:top w:w="80" w:type="dxa"/>
              <w:start w:w="120" w:type="dxa"/>
              <w:bottom w:w="80" w:type="dxa"/>
              <w:end w:w="120" w:type="dxa"/>
            </w:tcMar>
            <w:vAlign w:val="center"/>
          </w:tcPr>
          <w:p>
            <w:pPr>
              <w:spacing w:before="0" w:after="0" w:line="252" w:lineRule="auto"/>
              <w:jc w:val="left"/>
            </w:pPr>
            <w:r>
              <w:rPr>
                <w:rFonts w:ascii="Calibri" w:hAnsi="Calibri"/>
                <w:color w:val="000000"/>
                <w:sz w:val="16"/>
              </w:rPr>
              <w:t>Předmětové +CH → naučení</w:t>
            </w:r>
          </w:p>
        </w:tc>
        <w:tc>
          <w:tcPr>
            <w:tcW w:type="dxa" w:w="5480"/>
            <w:shd w:fill="EAF4EA"/>
            <w:tcMar>
              <w:top w:w="80" w:type="dxa"/>
              <w:start w:w="120" w:type="dxa"/>
              <w:bottom w:w="80" w:type="dxa"/>
              <w:end w:w="120" w:type="dxa"/>
            </w:tcMar>
            <w:vAlign w:val="center"/>
          </w:tcPr>
          <w:p>
            <w:pPr>
              <w:spacing w:before="0" w:after="0" w:line="252" w:lineRule="auto"/>
              <w:jc w:val="left"/>
            </w:pPr>
            <w:r>
              <w:rPr>
                <w:rFonts w:ascii="Calibri" w:hAnsi="Calibri"/>
                <w:color w:val="000000"/>
                <w:sz w:val="16"/>
              </w:rPr>
              <w:t>Nezapočítává se. Min. CH pro naučení musí postava splnit trvalou CH bez předmětových a dočasných bonusů.</w:t>
            </w:r>
          </w:p>
        </w:tc>
        <w:tc>
          <w:tcPr>
            <w:tcW w:type="dxa" w:w="1680"/>
            <w:shd w:fill="EAF4EA"/>
            <w:tcMar>
              <w:top w:w="80" w:type="dxa"/>
              <w:start w:w="120" w:type="dxa"/>
              <w:bottom w:w="80" w:type="dxa"/>
              <w:end w:w="120" w:type="dxa"/>
            </w:tcMar>
            <w:vAlign w:val="center"/>
          </w:tcPr>
          <w:p>
            <w:pPr>
              <w:spacing w:before="0" w:after="0" w:line="252" w:lineRule="auto"/>
              <w:jc w:val="center"/>
            </w:pPr>
            <w:r>
              <w:rPr>
                <w:rFonts w:ascii="Calibri" w:hAnsi="Calibri"/>
                <w:color w:val="000000"/>
                <w:sz w:val="16"/>
              </w:rPr>
              <w:t>SCHVÁLENO</w:t>
            </w:r>
          </w:p>
        </w:tc>
      </w:tr>
      <w:tr>
        <w:trPr>
          <w:cantSplit/>
        </w:trPr>
        <w:tc>
          <w:tcPr>
            <w:tcW w:type="dxa" w:w="2200"/>
            <w:shd w:fill="EAF4EA"/>
            <w:tcMar>
              <w:top w:w="80" w:type="dxa"/>
              <w:start w:w="120" w:type="dxa"/>
              <w:bottom w:w="80" w:type="dxa"/>
              <w:end w:w="120" w:type="dxa"/>
            </w:tcMar>
            <w:vAlign w:val="center"/>
          </w:tcPr>
          <w:p>
            <w:pPr>
              <w:spacing w:before="0" w:after="0" w:line="252" w:lineRule="auto"/>
              <w:jc w:val="left"/>
            </w:pPr>
            <w:r>
              <w:rPr>
                <w:rFonts w:ascii="Calibri" w:hAnsi="Calibri"/>
                <w:color w:val="000000"/>
                <w:sz w:val="16"/>
              </w:rPr>
              <w:t>Předmětové +CH → sesílání</w:t>
            </w:r>
          </w:p>
        </w:tc>
        <w:tc>
          <w:tcPr>
            <w:tcW w:type="dxa" w:w="5480"/>
            <w:shd w:fill="EAF4EA"/>
            <w:tcMar>
              <w:top w:w="80" w:type="dxa"/>
              <w:start w:w="120" w:type="dxa"/>
              <w:bottom w:w="80" w:type="dxa"/>
              <w:end w:w="120" w:type="dxa"/>
            </w:tcMar>
            <w:vAlign w:val="center"/>
          </w:tcPr>
          <w:p>
            <w:pPr>
              <w:spacing w:before="0" w:after="0" w:line="252" w:lineRule="auto"/>
              <w:jc w:val="left"/>
            </w:pPr>
            <w:r>
              <w:rPr>
                <w:rFonts w:ascii="Calibri" w:hAnsi="Calibri"/>
                <w:color w:val="000000"/>
                <w:sz w:val="16"/>
              </w:rPr>
              <w:t>Jednou řádně naučené kouzlo zůstává známé a Min. CH se při každém seslání znovu nekontroluje. Sundání předmětu proto známé kouzlo neodebere.</w:t>
            </w:r>
          </w:p>
        </w:tc>
        <w:tc>
          <w:tcPr>
            <w:tcW w:type="dxa" w:w="1680"/>
            <w:shd w:fill="EAF4EA"/>
            <w:tcMar>
              <w:top w:w="80" w:type="dxa"/>
              <w:start w:w="120" w:type="dxa"/>
              <w:bottom w:w="80" w:type="dxa"/>
              <w:end w:w="120" w:type="dxa"/>
            </w:tcMar>
            <w:vAlign w:val="center"/>
          </w:tcPr>
          <w:p>
            <w:pPr>
              <w:spacing w:before="0" w:after="0" w:line="252" w:lineRule="auto"/>
              <w:jc w:val="center"/>
            </w:pPr>
            <w:r>
              <w:rPr>
                <w:rFonts w:ascii="Calibri" w:hAnsi="Calibri"/>
                <w:color w:val="000000"/>
                <w:sz w:val="16"/>
              </w:rPr>
              <w:t>SCHVÁLENO</w:t>
            </w:r>
          </w:p>
        </w:tc>
      </w:tr>
      <w:tr>
        <w:trPr>
          <w:cantSplit/>
        </w:trPr>
        <w:tc>
          <w:tcPr>
            <w:tcW w:type="dxa" w:w="2200"/>
            <w:shd w:fill="EAF4EA"/>
            <w:tcMar>
              <w:top w:w="80" w:type="dxa"/>
              <w:start w:w="120" w:type="dxa"/>
              <w:bottom w:w="80" w:type="dxa"/>
              <w:end w:w="120" w:type="dxa"/>
            </w:tcMar>
            <w:vAlign w:val="center"/>
          </w:tcPr>
          <w:p>
            <w:pPr>
              <w:spacing w:before="0" w:after="0" w:line="252" w:lineRule="auto"/>
              <w:jc w:val="left"/>
            </w:pPr>
            <w:r>
              <w:rPr>
                <w:rFonts w:ascii="Calibri" w:hAnsi="Calibri"/>
                <w:color w:val="000000"/>
                <w:sz w:val="16"/>
              </w:rPr>
              <w:t>Přímé předmětové +MO</w:t>
            </w:r>
          </w:p>
        </w:tc>
        <w:tc>
          <w:tcPr>
            <w:tcW w:type="dxa" w:w="5480"/>
            <w:shd w:fill="EAF4EA"/>
            <w:tcMar>
              <w:top w:w="80" w:type="dxa"/>
              <w:start w:w="120" w:type="dxa"/>
              <w:bottom w:w="80" w:type="dxa"/>
              <w:end w:w="120" w:type="dxa"/>
            </w:tcMar>
            <w:vAlign w:val="center"/>
          </w:tcPr>
          <w:p>
            <w:pPr>
              <w:spacing w:before="0" w:after="0" w:line="252" w:lineRule="auto"/>
              <w:jc w:val="left"/>
            </w:pPr>
            <w:r>
              <w:rPr>
                <w:rFonts w:ascii="Calibri" w:hAnsi="Calibri"/>
                <w:color w:val="000000"/>
                <w:sz w:val="16"/>
              </w:rPr>
              <w:t>Všechny použitelné bonusy aktivních předmětů se sečtou a vstoupí do bonusu magické ochrany. Koeficient povolání se nepoužívá.</w:t>
            </w:r>
          </w:p>
        </w:tc>
        <w:tc>
          <w:tcPr>
            <w:tcW w:type="dxa" w:w="1680"/>
            <w:shd w:fill="EAF4EA"/>
            <w:tcMar>
              <w:top w:w="80" w:type="dxa"/>
              <w:start w:w="120" w:type="dxa"/>
              <w:bottom w:w="80" w:type="dxa"/>
              <w:end w:w="120" w:type="dxa"/>
            </w:tcMar>
            <w:vAlign w:val="center"/>
          </w:tcPr>
          <w:p>
            <w:pPr>
              <w:spacing w:before="0" w:after="0" w:line="252" w:lineRule="auto"/>
              <w:jc w:val="center"/>
            </w:pPr>
            <w:r>
              <w:rPr>
                <w:rFonts w:ascii="Calibri" w:hAnsi="Calibri"/>
                <w:color w:val="000000"/>
                <w:sz w:val="16"/>
              </w:rPr>
              <w:t>SCHVÁLENO</w:t>
            </w:r>
          </w:p>
        </w:tc>
      </w:tr>
      <w:tr>
        <w:trPr>
          <w:cantSplit/>
        </w:trPr>
        <w:tc>
          <w:tcPr>
            <w:tcW w:type="dxa" w:w="2200"/>
            <w:shd w:fill="EAF4EA"/>
            <w:tcMar>
              <w:top w:w="80" w:type="dxa"/>
              <w:start w:w="120" w:type="dxa"/>
              <w:bottom w:w="80" w:type="dxa"/>
              <w:end w:w="120" w:type="dxa"/>
            </w:tcMar>
            <w:vAlign w:val="center"/>
          </w:tcPr>
          <w:p>
            <w:pPr>
              <w:spacing w:before="0" w:after="0" w:line="252" w:lineRule="auto"/>
              <w:jc w:val="left"/>
            </w:pPr>
            <w:r>
              <w:rPr>
                <w:rFonts w:ascii="Calibri" w:hAnsi="Calibri"/>
                <w:color w:val="000000"/>
                <w:sz w:val="16"/>
              </w:rPr>
              <w:t>Přímé předmětové +FO</w:t>
            </w:r>
          </w:p>
        </w:tc>
        <w:tc>
          <w:tcPr>
            <w:tcW w:type="dxa" w:w="5480"/>
            <w:shd w:fill="EAF4EA"/>
            <w:tcMar>
              <w:top w:w="80" w:type="dxa"/>
              <w:start w:w="120" w:type="dxa"/>
              <w:bottom w:w="80" w:type="dxa"/>
              <w:end w:w="120" w:type="dxa"/>
            </w:tcMar>
            <w:vAlign w:val="center"/>
          </w:tcPr>
          <w:p>
            <w:pPr>
              <w:spacing w:before="0" w:after="0" w:line="252" w:lineRule="auto"/>
              <w:jc w:val="left"/>
            </w:pPr>
            <w:r>
              <w:rPr>
                <w:rFonts w:ascii="Calibri" w:hAnsi="Calibri"/>
                <w:color w:val="000000"/>
                <w:sz w:val="16"/>
              </w:rPr>
              <w:t>Všechny použitelné dodatečné bonusy +FO aktivních předmětů se sečtou. Koeficient povolání se na dodatečný bonus nepoužívá.</w:t>
            </w:r>
          </w:p>
        </w:tc>
        <w:tc>
          <w:tcPr>
            <w:tcW w:type="dxa" w:w="1680"/>
            <w:shd w:fill="EAF4EA"/>
            <w:tcMar>
              <w:top w:w="80" w:type="dxa"/>
              <w:start w:w="120" w:type="dxa"/>
              <w:bottom w:w="80" w:type="dxa"/>
              <w:end w:w="120" w:type="dxa"/>
            </w:tcMar>
            <w:vAlign w:val="center"/>
          </w:tcPr>
          <w:p>
            <w:pPr>
              <w:spacing w:before="0" w:after="0" w:line="252" w:lineRule="auto"/>
              <w:jc w:val="center"/>
            </w:pPr>
            <w:r>
              <w:rPr>
                <w:rFonts w:ascii="Calibri" w:hAnsi="Calibri"/>
                <w:color w:val="000000"/>
                <w:sz w:val="16"/>
              </w:rPr>
              <w:t>SCHVÁLENO</w:t>
            </w:r>
          </w:p>
        </w:tc>
      </w:tr>
      <w:tr>
        <w:trPr>
          <w:cantSplit/>
        </w:trPr>
        <w:tc>
          <w:tcPr>
            <w:tcW w:type="dxa" w:w="2200"/>
            <w:shd w:fill="EAF4EA"/>
            <w:tcMar>
              <w:top w:w="80" w:type="dxa"/>
              <w:start w:w="120" w:type="dxa"/>
              <w:bottom w:w="80" w:type="dxa"/>
              <w:end w:w="120" w:type="dxa"/>
            </w:tcMar>
            <w:vAlign w:val="center"/>
          </w:tcPr>
          <w:p>
            <w:pPr>
              <w:spacing w:before="0" w:after="0" w:line="252" w:lineRule="auto"/>
              <w:jc w:val="left"/>
            </w:pPr>
            <w:r>
              <w:rPr>
                <w:rFonts w:ascii="Calibri" w:hAnsi="Calibri"/>
                <w:color w:val="000000"/>
                <w:sz w:val="16"/>
              </w:rPr>
              <w:t>Předmět + obranné kouzlo</w:t>
            </w:r>
          </w:p>
        </w:tc>
        <w:tc>
          <w:tcPr>
            <w:tcW w:type="dxa" w:w="5480"/>
            <w:shd w:fill="EAF4EA"/>
            <w:tcMar>
              <w:top w:w="80" w:type="dxa"/>
              <w:start w:w="120" w:type="dxa"/>
              <w:bottom w:w="80" w:type="dxa"/>
              <w:end w:w="120" w:type="dxa"/>
            </w:tcMar>
            <w:vAlign w:val="center"/>
          </w:tcPr>
          <w:p>
            <w:pPr>
              <w:spacing w:before="0" w:after="0" w:line="252" w:lineRule="auto"/>
              <w:jc w:val="left"/>
            </w:pPr>
            <w:r>
              <w:rPr>
                <w:rFonts w:ascii="Calibri" w:hAnsi="Calibri"/>
                <w:color w:val="000000"/>
                <w:sz w:val="16"/>
              </w:rPr>
              <w:t>Součet předmětových bonusů se sčítá s nejvyšším právě působícím kouzelným bonusem pro danou FO nebo MO.</w:t>
            </w:r>
          </w:p>
        </w:tc>
        <w:tc>
          <w:tcPr>
            <w:tcW w:type="dxa" w:w="1680"/>
            <w:shd w:fill="EAF4EA"/>
            <w:tcMar>
              <w:top w:w="80" w:type="dxa"/>
              <w:start w:w="120" w:type="dxa"/>
              <w:bottom w:w="80" w:type="dxa"/>
              <w:end w:w="120" w:type="dxa"/>
            </w:tcMar>
            <w:vAlign w:val="center"/>
          </w:tcPr>
          <w:p>
            <w:pPr>
              <w:spacing w:before="0" w:after="0" w:line="252" w:lineRule="auto"/>
              <w:jc w:val="center"/>
            </w:pPr>
            <w:r>
              <w:rPr>
                <w:rFonts w:ascii="Calibri" w:hAnsi="Calibri"/>
                <w:color w:val="000000"/>
                <w:sz w:val="16"/>
              </w:rPr>
              <w:t>SCHVÁLENO</w:t>
            </w:r>
          </w:p>
        </w:tc>
      </w:tr>
      <w:tr>
        <w:trPr>
          <w:cantSplit/>
        </w:trPr>
        <w:tc>
          <w:tcPr>
            <w:tcW w:type="dxa" w:w="2200"/>
            <w:shd w:fill="EAF4EA"/>
            <w:tcMar>
              <w:top w:w="80" w:type="dxa"/>
              <w:start w:w="120" w:type="dxa"/>
              <w:bottom w:w="80" w:type="dxa"/>
              <w:end w:w="120" w:type="dxa"/>
            </w:tcMar>
            <w:vAlign w:val="center"/>
          </w:tcPr>
          <w:p>
            <w:pPr>
              <w:spacing w:before="0" w:after="0" w:line="252" w:lineRule="auto"/>
              <w:jc w:val="left"/>
            </w:pPr>
            <w:r>
              <w:rPr>
                <w:rFonts w:ascii="Calibri" w:hAnsi="Calibri"/>
                <w:color w:val="000000"/>
                <w:sz w:val="16"/>
              </w:rPr>
              <w:t>Více obranných kouzel</w:t>
            </w:r>
          </w:p>
        </w:tc>
        <w:tc>
          <w:tcPr>
            <w:tcW w:type="dxa" w:w="5480"/>
            <w:shd w:fill="EAF4EA"/>
            <w:tcMar>
              <w:top w:w="80" w:type="dxa"/>
              <w:start w:w="120" w:type="dxa"/>
              <w:bottom w:w="80" w:type="dxa"/>
              <w:end w:w="120" w:type="dxa"/>
            </w:tcMar>
            <w:vAlign w:val="center"/>
          </w:tcPr>
          <w:p>
            <w:pPr>
              <w:spacing w:before="0" w:after="0" w:line="252" w:lineRule="auto"/>
              <w:jc w:val="left"/>
            </w:pPr>
            <w:r>
              <w:rPr>
                <w:rFonts w:ascii="Calibri" w:hAnsi="Calibri"/>
                <w:color w:val="000000"/>
                <w:sz w:val="16"/>
              </w:rPr>
              <w:t>Pro FO se počítá pouze nejvyšší právě působící kouzelný bonus a pro MO rovněž pouze nejvyšší. Když skončí, začne se uplatňovat další nejvyšší aktivní bonus.</w:t>
            </w:r>
          </w:p>
        </w:tc>
        <w:tc>
          <w:tcPr>
            <w:tcW w:type="dxa" w:w="1680"/>
            <w:shd w:fill="EAF4EA"/>
            <w:tcMar>
              <w:top w:w="80" w:type="dxa"/>
              <w:start w:w="120" w:type="dxa"/>
              <w:bottom w:w="80" w:type="dxa"/>
              <w:end w:w="120" w:type="dxa"/>
            </w:tcMar>
            <w:vAlign w:val="center"/>
          </w:tcPr>
          <w:p>
            <w:pPr>
              <w:spacing w:before="0" w:after="0" w:line="252" w:lineRule="auto"/>
              <w:jc w:val="center"/>
            </w:pPr>
            <w:r>
              <w:rPr>
                <w:rFonts w:ascii="Calibri" w:hAnsi="Calibri"/>
                <w:color w:val="000000"/>
                <w:sz w:val="16"/>
              </w:rPr>
              <w:t>SCHVÁLENO</w:t>
            </w:r>
          </w:p>
        </w:tc>
      </w:tr>
      <w:tr>
        <w:trPr>
          <w:cantSplit/>
        </w:trPr>
        <w:tc>
          <w:tcPr>
            <w:tcW w:type="dxa" w:w="2200"/>
            <w:shd w:fill="EAF4EA"/>
            <w:tcMar>
              <w:top w:w="80" w:type="dxa"/>
              <w:start w:w="120" w:type="dxa"/>
              <w:bottom w:w="80" w:type="dxa"/>
              <w:end w:w="120" w:type="dxa"/>
            </w:tcMar>
            <w:vAlign w:val="center"/>
          </w:tcPr>
          <w:p>
            <w:pPr>
              <w:spacing w:before="0" w:after="0" w:line="252" w:lineRule="auto"/>
              <w:jc w:val="left"/>
            </w:pPr>
            <w:r>
              <w:rPr>
                <w:rFonts w:ascii="Calibri" w:hAnsi="Calibri"/>
                <w:color w:val="000000"/>
                <w:sz w:val="16"/>
              </w:rPr>
              <w:t>Zaokrouhlení Léčení</w:t>
            </w:r>
          </w:p>
        </w:tc>
        <w:tc>
          <w:tcPr>
            <w:tcW w:type="dxa" w:w="5480"/>
            <w:shd w:fill="EAF4EA"/>
            <w:tcMar>
              <w:top w:w="80" w:type="dxa"/>
              <w:start w:w="120" w:type="dxa"/>
              <w:bottom w:w="80" w:type="dxa"/>
              <w:end w:w="120" w:type="dxa"/>
            </w:tcMar>
            <w:vAlign w:val="center"/>
          </w:tcPr>
          <w:p>
            <w:pPr>
              <w:spacing w:before="0" w:after="0" w:line="252" w:lineRule="auto"/>
              <w:jc w:val="left"/>
            </w:pPr>
            <w:r>
              <w:rPr>
                <w:rFonts w:ascii="Calibri" w:hAnsi="Calibri"/>
                <w:color w:val="000000"/>
                <w:sz w:val="16"/>
              </w:rPr>
              <w:t>Základ × koeficient Léčení se zaokrouhlí na nejbližší celé číslo, přesně 0,5 nahoru. Teprve potom se přičtou předmětové bonusy.</w:t>
            </w:r>
          </w:p>
        </w:tc>
        <w:tc>
          <w:tcPr>
            <w:tcW w:type="dxa" w:w="1680"/>
            <w:shd w:fill="EAF4EA"/>
            <w:tcMar>
              <w:top w:w="80" w:type="dxa"/>
              <w:start w:w="120" w:type="dxa"/>
              <w:bottom w:w="80" w:type="dxa"/>
              <w:end w:w="120" w:type="dxa"/>
            </w:tcMar>
            <w:vAlign w:val="center"/>
          </w:tcPr>
          <w:p>
            <w:pPr>
              <w:spacing w:before="0" w:after="0" w:line="252" w:lineRule="auto"/>
              <w:jc w:val="center"/>
            </w:pPr>
            <w:r>
              <w:rPr>
                <w:rFonts w:ascii="Calibri" w:hAnsi="Calibri"/>
                <w:color w:val="000000"/>
                <w:sz w:val="16"/>
              </w:rPr>
              <w:t>SCHVÁLENO</w:t>
            </w:r>
          </w:p>
        </w:tc>
      </w:tr>
      <w:tr>
        <w:trPr>
          <w:cantSplit/>
        </w:trPr>
        <w:tc>
          <w:tcPr>
            <w:tcW w:type="dxa" w:w="2200"/>
            <w:shd w:fill="EAF4EA"/>
            <w:tcMar>
              <w:top w:w="80" w:type="dxa"/>
              <w:start w:w="120" w:type="dxa"/>
              <w:bottom w:w="80" w:type="dxa"/>
              <w:end w:w="120" w:type="dxa"/>
            </w:tcMar>
            <w:vAlign w:val="center"/>
          </w:tcPr>
          <w:p>
            <w:pPr>
              <w:spacing w:before="0" w:after="0" w:line="252" w:lineRule="auto"/>
              <w:jc w:val="left"/>
            </w:pPr>
            <w:r>
              <w:rPr>
                <w:rFonts w:ascii="Calibri" w:hAnsi="Calibri"/>
                <w:color w:val="000000"/>
                <w:sz w:val="16"/>
              </w:rPr>
              <w:t>Společný limit Léčení</w:t>
            </w:r>
          </w:p>
        </w:tc>
        <w:tc>
          <w:tcPr>
            <w:tcW w:type="dxa" w:w="5480"/>
            <w:shd w:fill="EAF4EA"/>
            <w:tcMar>
              <w:top w:w="80" w:type="dxa"/>
              <w:start w:w="120" w:type="dxa"/>
              <w:bottom w:w="80" w:type="dxa"/>
              <w:end w:w="120" w:type="dxa"/>
            </w:tcMar>
            <w:vAlign w:val="center"/>
          </w:tcPr>
          <w:p>
            <w:pPr>
              <w:spacing w:before="0" w:after="0" w:line="252" w:lineRule="auto"/>
              <w:jc w:val="left"/>
            </w:pPr>
            <w:r>
              <w:rPr>
                <w:rFonts w:ascii="Calibri" w:hAnsi="Calibri"/>
                <w:color w:val="000000"/>
                <w:sz w:val="16"/>
              </w:rPr>
              <w:t>Každý sesilatel může za souboj seslat nejvýše 1 kouzlo používající koeficient Léčení a obnovující Ž. Ostatní zdroje léčení limit nespotřebují.</w:t>
            </w:r>
          </w:p>
        </w:tc>
        <w:tc>
          <w:tcPr>
            <w:tcW w:type="dxa" w:w="1680"/>
            <w:shd w:fill="EAF4EA"/>
            <w:tcMar>
              <w:top w:w="80" w:type="dxa"/>
              <w:start w:w="120" w:type="dxa"/>
              <w:bottom w:w="80" w:type="dxa"/>
              <w:end w:w="120" w:type="dxa"/>
            </w:tcMar>
            <w:vAlign w:val="center"/>
          </w:tcPr>
          <w:p>
            <w:pPr>
              <w:spacing w:before="0" w:after="0" w:line="252" w:lineRule="auto"/>
              <w:jc w:val="center"/>
            </w:pPr>
            <w:r>
              <w:rPr>
                <w:rFonts w:ascii="Calibri" w:hAnsi="Calibri"/>
                <w:color w:val="000000"/>
                <w:sz w:val="16"/>
              </w:rPr>
              <w:t>SCHVÁLENO</w:t>
            </w:r>
          </w:p>
        </w:tc>
      </w:tr>
      <w:tr>
        <w:trPr>
          <w:cantSplit/>
        </w:trPr>
        <w:tc>
          <w:tcPr>
            <w:tcW w:type="dxa" w:w="2200"/>
            <w:shd w:fill="EAF4EA"/>
            <w:tcMar>
              <w:top w:w="80" w:type="dxa"/>
              <w:start w:w="120" w:type="dxa"/>
              <w:bottom w:w="80" w:type="dxa"/>
              <w:end w:w="120" w:type="dxa"/>
            </w:tcMar>
            <w:vAlign w:val="center"/>
          </w:tcPr>
          <w:p>
            <w:pPr>
              <w:spacing w:before="0" w:after="0" w:line="252" w:lineRule="auto"/>
              <w:jc w:val="left"/>
            </w:pPr>
            <w:r>
              <w:rPr>
                <w:rFonts w:ascii="Calibri" w:hAnsi="Calibri"/>
                <w:color w:val="000000"/>
                <w:sz w:val="16"/>
              </w:rPr>
              <w:t>Počáteční kouzla</w:t>
            </w:r>
          </w:p>
        </w:tc>
        <w:tc>
          <w:tcPr>
            <w:tcW w:type="dxa" w:w="5480"/>
            <w:shd w:fill="EAF4EA"/>
            <w:tcMar>
              <w:top w:w="80" w:type="dxa"/>
              <w:start w:w="120" w:type="dxa"/>
              <w:bottom w:w="80" w:type="dxa"/>
              <w:end w:w="120" w:type="dxa"/>
            </w:tcMar>
            <w:vAlign w:val="center"/>
          </w:tcPr>
          <w:p>
            <w:pPr>
              <w:spacing w:before="0" w:after="0" w:line="252" w:lineRule="auto"/>
              <w:jc w:val="left"/>
            </w:pPr>
            <w:r>
              <w:rPr>
                <w:rFonts w:ascii="Calibri" w:hAnsi="Calibri"/>
                <w:color w:val="000000"/>
                <w:sz w:val="16"/>
              </w:rPr>
              <w:t>Kouzelník začíná s 5 známými kouzly, Léčitel se 4 a Bojovník, Hraničář, Zloděj i Bard s 0.</w:t>
            </w:r>
          </w:p>
        </w:tc>
        <w:tc>
          <w:tcPr>
            <w:tcW w:type="dxa" w:w="1680"/>
            <w:shd w:fill="EAF4EA"/>
            <w:tcMar>
              <w:top w:w="80" w:type="dxa"/>
              <w:start w:w="120" w:type="dxa"/>
              <w:bottom w:w="80" w:type="dxa"/>
              <w:end w:w="120" w:type="dxa"/>
            </w:tcMar>
            <w:vAlign w:val="center"/>
          </w:tcPr>
          <w:p>
            <w:pPr>
              <w:spacing w:before="0" w:after="0" w:line="252" w:lineRule="auto"/>
              <w:jc w:val="center"/>
            </w:pPr>
            <w:r>
              <w:rPr>
                <w:rFonts w:ascii="Calibri" w:hAnsi="Calibri"/>
                <w:color w:val="000000"/>
                <w:sz w:val="16"/>
              </w:rPr>
              <w:t>SCHVÁLENO</w:t>
            </w:r>
          </w:p>
        </w:tc>
      </w:tr>
    </w:tbl>
    <w:p>
      <w:pPr>
        <w:spacing w:before="0" w:after="120" w:line="276" w:lineRule="auto"/>
      </w:pPr>
      <w:r>
        <w:rPr>
          <w:rFonts w:ascii="Calibri" w:hAnsi="Calibri"/>
          <w:b w:val="0"/>
          <w:color w:val="000000"/>
          <w:sz w:val="20"/>
        </w:rPr>
        <w:t>Příklad útoku: člověk–kouzelník s CH 8, BŠ 2 a Ohnivou střelou +2 má MÚ 12. Róba ohně přidá následně +1 MÚ, takže výsledek je 13. Pět aktivních předmětů +1 CH by místo toho zvýšilo CH na 13 a základní MÚ na 17.</w:t>
      </w:r>
    </w:p>
    <w:tbl>
      <w:tblPr>
        <w:tblW w:type="dxa" w:w="9360"/>
        <w:jc w:val="left"/>
        <w:tblLayout w:type="fixed"/>
        <w:tblLook w:firstColumn="1" w:firstRow="1" w:lastColumn="0" w:lastRow="0" w:noHBand="0" w:noVBand="1" w:val="04A0"/>
        <w:tblInd w:w="120" w:type="dxa"/>
        <w:tblBorders>
          <w:top w:val="single" w:sz="5" w:space="0" w:color="7FA37F"/>
          <w:left w:val="single" w:sz="5" w:space="0" w:color="7FA37F"/>
          <w:bottom w:val="single" w:sz="5" w:space="0" w:color="7FA37F"/>
          <w:right w:val="single" w:sz="5" w:space="0" w:color="7FA37F"/>
          <w:insideH w:val="single" w:sz="5" w:space="0" w:color="7FA37F"/>
          <w:insideV w:val="single" w:sz="5" w:space="0" w:color="7FA37F"/>
        </w:tblBorders>
      </w:tblPr>
      <w:tblGrid>
        <w:gridCol w:w="9360"/>
      </w:tblGrid>
      <w:tr>
        <w:tc>
          <w:tcPr>
            <w:tcW w:type="dxa" w:w="9360"/>
            <w:shd w:fill="EAF4EA"/>
            <w:tcMar>
              <w:top w:w="130" w:type="dxa"/>
              <w:start w:w="180" w:type="dxa"/>
              <w:bottom w:w="130" w:type="dxa"/>
              <w:end w:w="180" w:type="dxa"/>
            </w:tcMar>
          </w:tcPr>
          <w:p>
            <w:pPr>
              <w:spacing w:after="0" w:line="288" w:lineRule="auto"/>
            </w:pPr>
            <w:r>
              <w:rPr>
                <w:rFonts w:ascii="Calibri" w:hAnsi="Calibri"/>
                <w:b/>
                <w:color w:val="18324A"/>
                <w:sz w:val="21"/>
              </w:rPr>
              <w:t xml:space="preserve">Příklady z vybavení: </w:t>
            </w:r>
            <w:r>
              <w:rPr>
                <w:rFonts w:ascii="Calibri" w:hAnsi="Calibri"/>
                <w:color w:val="000000"/>
                <w:sz w:val="21"/>
              </w:rPr>
              <w:t>Róba ohně dává +1 MÚ kouzlům Ohně. Hůl přírody používá pro fyzický základ koeficient Zbraně a samostatně dává +1 MÚ Přírodní magie. Talisman ducha dává přímé +1 MO. Opasek léčitele přidá +1 Ž k výsledku jednoho léčivého seslání; ne každému cíli ani každé kolo.</w:t>
            </w:r>
          </w:p>
        </w:tc>
      </w:tr>
    </w:tbl>
    <w:p>
      <w:pPr>
        <w:spacing w:after="20"/>
      </w:pPr>
    </w:p>
    <w:p>
      <w:pPr>
        <w:pStyle w:val="Heading1"/>
      </w:pPr>
      <w:r>
        <w:t>7. Uzavření společných pravidel</w:t>
      </w:r>
    </w:p>
    <w:tbl>
      <w:tblPr>
        <w:tblW w:type="dxa" w:w="9360"/>
        <w:jc w:val="left"/>
        <w:tblLayout w:type="fixed"/>
        <w:tblLook w:firstColumn="1" w:firstRow="1" w:lastColumn="0" w:lastRow="0" w:noHBand="0" w:noVBand="1" w:val="04A0"/>
        <w:tblInd w:w="120" w:type="dxa"/>
        <w:tblBorders>
          <w:top w:val="single" w:sz="5" w:space="0" w:color="7FA37F"/>
          <w:left w:val="single" w:sz="5" w:space="0" w:color="7FA37F"/>
          <w:bottom w:val="single" w:sz="5" w:space="0" w:color="7FA37F"/>
          <w:right w:val="single" w:sz="5" w:space="0" w:color="7FA37F"/>
          <w:insideH w:val="single" w:sz="5" w:space="0" w:color="7FA37F"/>
          <w:insideV w:val="single" w:sz="5" w:space="0" w:color="7FA37F"/>
        </w:tblBorders>
      </w:tblPr>
      <w:tblGrid>
        <w:gridCol w:w="9360"/>
      </w:tblGrid>
      <w:tr>
        <w:tc>
          <w:tcPr>
            <w:tcW w:type="dxa" w:w="9360"/>
            <w:shd w:fill="EAF4EA"/>
            <w:tcMar>
              <w:top w:w="130" w:type="dxa"/>
              <w:start w:w="180" w:type="dxa"/>
              <w:bottom w:w="130" w:type="dxa"/>
              <w:end w:w="180" w:type="dxa"/>
            </w:tcMar>
          </w:tcPr>
          <w:p>
            <w:pPr>
              <w:spacing w:after="0" w:line="288" w:lineRule="auto"/>
            </w:pPr>
            <w:r>
              <w:rPr>
                <w:rFonts w:ascii="Calibri" w:hAnsi="Calibri"/>
                <w:b/>
                <w:color w:val="18324A"/>
                <w:sz w:val="21"/>
              </w:rPr>
              <w:t xml:space="preserve">Kontrolní závěr: </w:t>
            </w:r>
            <w:r>
              <w:rPr>
                <w:rFonts w:ascii="Calibri" w:hAnsi="Calibri"/>
                <w:color w:val="000000"/>
                <w:sz w:val="21"/>
              </w:rPr>
              <w:t>Všech šest dříve otevřených mechanik má nyní jedno definitivní pravidlo. Vaelor je používá přímo a nevytváří vlastní varianty.</w:t>
            </w:r>
          </w:p>
        </w:tc>
      </w:tr>
    </w:tbl>
    <w:p>
      <w:pPr>
        <w:spacing w:after="20"/>
      </w:pPr>
    </w:p>
    <w:tbl>
      <w:tblPr>
        <w:tblW w:type="dxa" w:w="9360"/>
        <w:jc w:val="left"/>
        <w:tblLayout w:type="fixed"/>
        <w:tblLook w:firstColumn="1" w:firstRow="1" w:lastColumn="0" w:lastRow="0" w:noHBand="0" w:noVBand="1" w:val="04A0"/>
        <w:tblInd w:w="120" w:type="dxa"/>
        <w:tblBorders>
          <w:top w:val="single" w:sz="4" w:space="0" w:color="AAB7C4"/>
          <w:left w:val="single" w:sz="4" w:space="0" w:color="AAB7C4"/>
          <w:bottom w:val="single" w:sz="4" w:space="0" w:color="AAB7C4"/>
          <w:right w:val="single" w:sz="4" w:space="0" w:color="AAB7C4"/>
          <w:insideH w:val="single" w:sz="4" w:space="0" w:color="AAB7C4"/>
          <w:insideV w:val="single" w:sz="4" w:space="0" w:color="AAB7C4"/>
        </w:tblBorders>
      </w:tblPr>
      <w:tblGrid>
        <w:gridCol w:w="700"/>
        <w:gridCol w:w="2500"/>
        <w:gridCol w:w="6160"/>
      </w:tblGrid>
      <w:tr>
        <w:trPr>
          <w:tblHeader w:val="true"/>
          <w:cantSplit/>
        </w:trPr>
        <w:tc>
          <w:tcPr>
            <w:tcW w:type="dxa" w:w="700"/>
            <w:shd w:fill="E8EEF5"/>
            <w:tcMar>
              <w:top w:w="80" w:type="dxa"/>
              <w:start w:w="120" w:type="dxa"/>
              <w:bottom w:w="80" w:type="dxa"/>
              <w:end w:w="120" w:type="dxa"/>
            </w:tcMar>
            <w:vAlign w:val="center"/>
          </w:tcPr>
          <w:p>
            <w:pPr>
              <w:spacing w:before="0" w:after="0" w:line="240" w:lineRule="auto"/>
              <w:jc w:val="left"/>
            </w:pPr>
            <w:r>
              <w:rPr>
                <w:rFonts w:ascii="Calibri" w:hAnsi="Calibri"/>
                <w:b/>
                <w:color w:val="18324A"/>
                <w:sz w:val="18"/>
              </w:rPr>
              <w:t>Bod</w:t>
            </w:r>
          </w:p>
        </w:tc>
        <w:tc>
          <w:tcPr>
            <w:tcW w:type="dxa" w:w="2500"/>
            <w:shd w:fill="E8EEF5"/>
            <w:tcMar>
              <w:top w:w="80" w:type="dxa"/>
              <w:start w:w="120" w:type="dxa"/>
              <w:bottom w:w="80" w:type="dxa"/>
              <w:end w:w="120" w:type="dxa"/>
            </w:tcMar>
            <w:vAlign w:val="center"/>
          </w:tcPr>
          <w:p>
            <w:pPr>
              <w:spacing w:before="0" w:after="0" w:line="240" w:lineRule="auto"/>
              <w:jc w:val="left"/>
            </w:pPr>
            <w:r>
              <w:rPr>
                <w:rFonts w:ascii="Calibri" w:hAnsi="Calibri"/>
                <w:b/>
                <w:color w:val="18324A"/>
                <w:sz w:val="18"/>
              </w:rPr>
              <w:t>Oblast</w:t>
            </w:r>
          </w:p>
        </w:tc>
        <w:tc>
          <w:tcPr>
            <w:tcW w:type="dxa" w:w="6160"/>
            <w:shd w:fill="E8EEF5"/>
            <w:tcMar>
              <w:top w:w="80" w:type="dxa"/>
              <w:start w:w="120" w:type="dxa"/>
              <w:bottom w:w="80" w:type="dxa"/>
              <w:end w:w="120" w:type="dxa"/>
            </w:tcMar>
            <w:vAlign w:val="center"/>
          </w:tcPr>
          <w:p>
            <w:pPr>
              <w:spacing w:before="0" w:after="0" w:line="240" w:lineRule="auto"/>
              <w:jc w:val="left"/>
            </w:pPr>
            <w:r>
              <w:rPr>
                <w:rFonts w:ascii="Calibri" w:hAnsi="Calibri"/>
                <w:b/>
                <w:color w:val="18324A"/>
                <w:sz w:val="18"/>
              </w:rPr>
              <w:t>Definitivní pravidlo</w:t>
            </w:r>
          </w:p>
        </w:tc>
      </w:tr>
      <w:tr>
        <w:trPr>
          <w:cantSplit/>
        </w:trPr>
        <w:tc>
          <w:tcPr>
            <w:tcW w:type="dxa" w:w="700"/>
            <w:shd w:fill="EAF4EA"/>
            <w:tcMar>
              <w:top w:w="80" w:type="dxa"/>
              <w:start w:w="120" w:type="dxa"/>
              <w:bottom w:w="80" w:type="dxa"/>
              <w:end w:w="120" w:type="dxa"/>
            </w:tcMar>
            <w:vAlign w:val="center"/>
          </w:tcPr>
          <w:p>
            <w:pPr>
              <w:spacing w:before="0" w:after="0" w:line="252" w:lineRule="auto"/>
              <w:jc w:val="left"/>
            </w:pPr>
            <w:r>
              <w:rPr>
                <w:rFonts w:ascii="Calibri" w:hAnsi="Calibri"/>
                <w:color w:val="000000"/>
                <w:sz w:val="18"/>
              </w:rPr>
              <w:t>✓ 1</w:t>
            </w:r>
          </w:p>
        </w:tc>
        <w:tc>
          <w:tcPr>
            <w:tcW w:type="dxa" w:w="2500"/>
            <w:shd w:fill="EAF4EA"/>
            <w:tcMar>
              <w:top w:w="80" w:type="dxa"/>
              <w:start w:w="120" w:type="dxa"/>
              <w:bottom w:w="80" w:type="dxa"/>
              <w:end w:w="120" w:type="dxa"/>
            </w:tcMar>
            <w:vAlign w:val="center"/>
          </w:tcPr>
          <w:p>
            <w:pPr>
              <w:spacing w:before="0" w:after="0" w:line="252" w:lineRule="auto"/>
              <w:jc w:val="left"/>
            </w:pPr>
            <w:r>
              <w:rPr>
                <w:rFonts w:ascii="Calibri" w:hAnsi="Calibri"/>
                <w:color w:val="000000"/>
                <w:sz w:val="18"/>
              </w:rPr>
              <w:t>Plošná kouzla</w:t>
            </w:r>
          </w:p>
        </w:tc>
        <w:tc>
          <w:tcPr>
            <w:tcW w:type="dxa" w:w="6160"/>
            <w:shd w:fill="EAF4EA"/>
            <w:tcMar>
              <w:top w:w="80" w:type="dxa"/>
              <w:start w:w="120" w:type="dxa"/>
              <w:bottom w:w="80" w:type="dxa"/>
              <w:end w:w="120" w:type="dxa"/>
            </w:tcMar>
            <w:vAlign w:val="center"/>
          </w:tcPr>
          <w:p>
            <w:pPr>
              <w:spacing w:before="0" w:after="0" w:line="252" w:lineRule="auto"/>
              <w:jc w:val="left"/>
            </w:pPr>
            <w:r>
              <w:rPr>
                <w:rFonts w:ascii="Calibri" w:hAnsi="Calibri"/>
                <w:color w:val="000000"/>
                <w:sz w:val="18"/>
              </w:rPr>
              <w:t>Nejvýše 3 cíle; jeden společný hod MÚ, samostatné porovnání s MO a samostatné vyhodnocení každého cíle.</w:t>
            </w:r>
          </w:p>
        </w:tc>
      </w:tr>
      <w:tr>
        <w:trPr>
          <w:cantSplit/>
        </w:trPr>
        <w:tc>
          <w:tcPr>
            <w:tcW w:type="dxa" w:w="700"/>
            <w:shd w:fill="EAF4EA"/>
            <w:tcMar>
              <w:top w:w="80" w:type="dxa"/>
              <w:start w:w="120" w:type="dxa"/>
              <w:bottom w:w="80" w:type="dxa"/>
              <w:end w:w="120" w:type="dxa"/>
            </w:tcMar>
            <w:vAlign w:val="center"/>
          </w:tcPr>
          <w:p>
            <w:pPr>
              <w:spacing w:before="0" w:after="0" w:line="252" w:lineRule="auto"/>
              <w:jc w:val="left"/>
            </w:pPr>
            <w:r>
              <w:rPr>
                <w:rFonts w:ascii="Calibri" w:hAnsi="Calibri"/>
                <w:color w:val="000000"/>
                <w:sz w:val="18"/>
              </w:rPr>
              <w:t>✓ 2</w:t>
            </w:r>
          </w:p>
        </w:tc>
        <w:tc>
          <w:tcPr>
            <w:tcW w:type="dxa" w:w="2500"/>
            <w:shd w:fill="EAF4EA"/>
            <w:tcMar>
              <w:top w:w="80" w:type="dxa"/>
              <w:start w:w="120" w:type="dxa"/>
              <w:bottom w:w="80" w:type="dxa"/>
              <w:end w:w="120" w:type="dxa"/>
            </w:tcMar>
            <w:vAlign w:val="center"/>
          </w:tcPr>
          <w:p>
            <w:pPr>
              <w:spacing w:before="0" w:after="0" w:line="252" w:lineRule="auto"/>
              <w:jc w:val="left"/>
            </w:pPr>
            <w:r>
              <w:rPr>
                <w:rFonts w:ascii="Calibri" w:hAnsi="Calibri"/>
                <w:color w:val="000000"/>
                <w:sz w:val="18"/>
              </w:rPr>
              <w:t>Ovlivnění a bossové</w:t>
            </w:r>
          </w:p>
        </w:tc>
        <w:tc>
          <w:tcPr>
            <w:tcW w:type="dxa" w:w="6160"/>
            <w:shd w:fill="EAF4EA"/>
            <w:tcMar>
              <w:top w:w="80" w:type="dxa"/>
              <w:start w:w="120" w:type="dxa"/>
              <w:bottom w:w="80" w:type="dxa"/>
              <w:end w:w="120" w:type="dxa"/>
            </w:tcMar>
            <w:vAlign w:val="center"/>
          </w:tcPr>
          <w:p>
            <w:pPr>
              <w:spacing w:before="0" w:after="0" w:line="252" w:lineRule="auto"/>
              <w:jc w:val="left"/>
            </w:pPr>
            <w:r>
              <w:rPr>
                <w:rFonts w:ascii="Calibri" w:hAnsi="Calibri"/>
                <w:color w:val="000000"/>
                <w:sz w:val="18"/>
              </w:rPr>
              <w:t>Neochotný cíl: MÚ proti MO, úspěch jen při vyšším útoku. Boss používá oslabený účinek řádku a nikdy neztratí celý tah ani není automaticky vyřazen.</w:t>
            </w:r>
          </w:p>
        </w:tc>
      </w:tr>
      <w:tr>
        <w:trPr>
          <w:cantSplit/>
        </w:trPr>
        <w:tc>
          <w:tcPr>
            <w:tcW w:type="dxa" w:w="700"/>
            <w:shd w:fill="EAF4EA"/>
            <w:tcMar>
              <w:top w:w="80" w:type="dxa"/>
              <w:start w:w="120" w:type="dxa"/>
              <w:bottom w:w="80" w:type="dxa"/>
              <w:end w:w="120" w:type="dxa"/>
            </w:tcMar>
            <w:vAlign w:val="center"/>
          </w:tcPr>
          <w:p>
            <w:pPr>
              <w:spacing w:before="0" w:after="0" w:line="252" w:lineRule="auto"/>
              <w:jc w:val="left"/>
            </w:pPr>
            <w:r>
              <w:rPr>
                <w:rFonts w:ascii="Calibri" w:hAnsi="Calibri"/>
                <w:color w:val="000000"/>
                <w:sz w:val="18"/>
              </w:rPr>
              <w:t>✓ 3</w:t>
            </w:r>
          </w:p>
        </w:tc>
        <w:tc>
          <w:tcPr>
            <w:tcW w:type="dxa" w:w="2500"/>
            <w:shd w:fill="EAF4EA"/>
            <w:tcMar>
              <w:top w:w="80" w:type="dxa"/>
              <w:start w:w="120" w:type="dxa"/>
              <w:bottom w:w="80" w:type="dxa"/>
              <w:end w:w="120" w:type="dxa"/>
            </w:tcMar>
            <w:vAlign w:val="center"/>
          </w:tcPr>
          <w:p>
            <w:pPr>
              <w:spacing w:before="0" w:after="0" w:line="252" w:lineRule="auto"/>
              <w:jc w:val="left"/>
            </w:pPr>
            <w:r>
              <w:rPr>
                <w:rFonts w:ascii="Calibri" w:hAnsi="Calibri"/>
                <w:color w:val="000000"/>
                <w:sz w:val="18"/>
              </w:rPr>
              <w:t>Zaokrouhlení Léčení</w:t>
            </w:r>
          </w:p>
        </w:tc>
        <w:tc>
          <w:tcPr>
            <w:tcW w:type="dxa" w:w="6160"/>
            <w:shd w:fill="EAF4EA"/>
            <w:tcMar>
              <w:top w:w="80" w:type="dxa"/>
              <w:start w:w="120" w:type="dxa"/>
              <w:bottom w:w="80" w:type="dxa"/>
              <w:end w:w="120" w:type="dxa"/>
            </w:tcMar>
            <w:vAlign w:val="center"/>
          </w:tcPr>
          <w:p>
            <w:pPr>
              <w:spacing w:before="0" w:after="0" w:line="252" w:lineRule="auto"/>
              <w:jc w:val="left"/>
            </w:pPr>
            <w:r>
              <w:rPr>
                <w:rFonts w:ascii="Calibri" w:hAnsi="Calibri"/>
                <w:color w:val="000000"/>
                <w:sz w:val="18"/>
              </w:rPr>
              <w:t>Nejbližší celé číslo, přesně 0,5 nahoru; předmětové bonusy se přičtou až potom.</w:t>
            </w:r>
          </w:p>
        </w:tc>
      </w:tr>
      <w:tr>
        <w:trPr>
          <w:cantSplit/>
        </w:trPr>
        <w:tc>
          <w:tcPr>
            <w:tcW w:type="dxa" w:w="700"/>
            <w:shd w:fill="EAF4EA"/>
            <w:tcMar>
              <w:top w:w="80" w:type="dxa"/>
              <w:start w:w="120" w:type="dxa"/>
              <w:bottom w:w="80" w:type="dxa"/>
              <w:end w:w="120" w:type="dxa"/>
            </w:tcMar>
            <w:vAlign w:val="center"/>
          </w:tcPr>
          <w:p>
            <w:pPr>
              <w:spacing w:before="0" w:after="0" w:line="252" w:lineRule="auto"/>
              <w:jc w:val="left"/>
            </w:pPr>
            <w:r>
              <w:rPr>
                <w:rFonts w:ascii="Calibri" w:hAnsi="Calibri"/>
                <w:color w:val="000000"/>
                <w:sz w:val="18"/>
              </w:rPr>
              <w:t>✓ 4</w:t>
            </w:r>
          </w:p>
        </w:tc>
        <w:tc>
          <w:tcPr>
            <w:tcW w:type="dxa" w:w="2500"/>
            <w:shd w:fill="EAF4EA"/>
            <w:tcMar>
              <w:top w:w="80" w:type="dxa"/>
              <w:start w:w="120" w:type="dxa"/>
              <w:bottom w:w="80" w:type="dxa"/>
              <w:end w:w="120" w:type="dxa"/>
            </w:tcMar>
            <w:vAlign w:val="center"/>
          </w:tcPr>
          <w:p>
            <w:pPr>
              <w:spacing w:before="0" w:after="0" w:line="252" w:lineRule="auto"/>
              <w:jc w:val="left"/>
            </w:pPr>
            <w:r>
              <w:rPr>
                <w:rFonts w:ascii="Calibri" w:hAnsi="Calibri"/>
                <w:color w:val="000000"/>
                <w:sz w:val="18"/>
              </w:rPr>
              <w:t>Společný limit léčení</w:t>
            </w:r>
          </w:p>
        </w:tc>
        <w:tc>
          <w:tcPr>
            <w:tcW w:type="dxa" w:w="6160"/>
            <w:shd w:fill="EAF4EA"/>
            <w:tcMar>
              <w:top w:w="80" w:type="dxa"/>
              <w:start w:w="120" w:type="dxa"/>
              <w:bottom w:w="80" w:type="dxa"/>
              <w:end w:w="120" w:type="dxa"/>
            </w:tcMar>
            <w:vAlign w:val="center"/>
          </w:tcPr>
          <w:p>
            <w:pPr>
              <w:spacing w:before="0" w:after="0" w:line="252" w:lineRule="auto"/>
              <w:jc w:val="left"/>
            </w:pPr>
            <w:r>
              <w:rPr>
                <w:rFonts w:ascii="Calibri" w:hAnsi="Calibri"/>
                <w:color w:val="000000"/>
                <w:sz w:val="18"/>
              </w:rPr>
              <w:t>Nejvýše 1 léčivé kouzlo používající koeficient Léčení na jednoho sesilatele za souboj.</w:t>
            </w:r>
          </w:p>
        </w:tc>
      </w:tr>
      <w:tr>
        <w:trPr>
          <w:cantSplit/>
        </w:trPr>
        <w:tc>
          <w:tcPr>
            <w:tcW w:type="dxa" w:w="700"/>
            <w:shd w:fill="EAF4EA"/>
            <w:tcMar>
              <w:top w:w="80" w:type="dxa"/>
              <w:start w:w="120" w:type="dxa"/>
              <w:bottom w:w="80" w:type="dxa"/>
              <w:end w:w="120" w:type="dxa"/>
            </w:tcMar>
            <w:vAlign w:val="center"/>
          </w:tcPr>
          <w:p>
            <w:pPr>
              <w:spacing w:before="0" w:after="0" w:line="252" w:lineRule="auto"/>
              <w:jc w:val="left"/>
            </w:pPr>
            <w:r>
              <w:rPr>
                <w:rFonts w:ascii="Calibri" w:hAnsi="Calibri"/>
                <w:color w:val="000000"/>
                <w:sz w:val="18"/>
              </w:rPr>
              <w:t>✓ 5</w:t>
            </w:r>
          </w:p>
        </w:tc>
        <w:tc>
          <w:tcPr>
            <w:tcW w:type="dxa" w:w="2500"/>
            <w:shd w:fill="EAF4EA"/>
            <w:tcMar>
              <w:top w:w="80" w:type="dxa"/>
              <w:start w:w="120" w:type="dxa"/>
              <w:bottom w:w="80" w:type="dxa"/>
              <w:end w:w="120" w:type="dxa"/>
            </w:tcMar>
            <w:vAlign w:val="center"/>
          </w:tcPr>
          <w:p>
            <w:pPr>
              <w:spacing w:before="0" w:after="0" w:line="252" w:lineRule="auto"/>
              <w:jc w:val="left"/>
            </w:pPr>
            <w:r>
              <w:rPr>
                <w:rFonts w:ascii="Calibri" w:hAnsi="Calibri"/>
                <w:color w:val="000000"/>
                <w:sz w:val="18"/>
              </w:rPr>
              <w:t>Soustředění</w:t>
            </w:r>
          </w:p>
        </w:tc>
        <w:tc>
          <w:tcPr>
            <w:tcW w:type="dxa" w:w="6160"/>
            <w:shd w:fill="EAF4EA"/>
            <w:tcMar>
              <w:top w:w="80" w:type="dxa"/>
              <w:start w:w="120" w:type="dxa"/>
              <w:bottom w:w="80" w:type="dxa"/>
              <w:end w:w="120" w:type="dxa"/>
            </w:tcMar>
            <w:vAlign w:val="center"/>
          </w:tcPr>
          <w:p>
            <w:pPr>
              <w:spacing w:before="0" w:after="0" w:line="252" w:lineRule="auto"/>
              <w:jc w:val="left"/>
            </w:pPr>
            <w:r>
              <w:rPr>
                <w:rFonts w:ascii="Calibri" w:hAnsi="Calibri"/>
                <w:color w:val="000000"/>
                <w:sz w:val="18"/>
              </w:rPr>
              <w:t>Nejvýše 1 aktivní kouzlo se soustředěním; seslání dalšího kouzla je před jeho vyhodnocením ukončí.</w:t>
            </w:r>
          </w:p>
        </w:tc>
      </w:tr>
      <w:tr>
        <w:trPr>
          <w:cantSplit/>
        </w:trPr>
        <w:tc>
          <w:tcPr>
            <w:tcW w:type="dxa" w:w="700"/>
            <w:shd w:fill="EAF4EA"/>
            <w:tcMar>
              <w:top w:w="80" w:type="dxa"/>
              <w:start w:w="120" w:type="dxa"/>
              <w:bottom w:w="80" w:type="dxa"/>
              <w:end w:w="120" w:type="dxa"/>
            </w:tcMar>
            <w:vAlign w:val="center"/>
          </w:tcPr>
          <w:p>
            <w:pPr>
              <w:spacing w:before="0" w:after="0" w:line="252" w:lineRule="auto"/>
              <w:jc w:val="left"/>
            </w:pPr>
            <w:r>
              <w:rPr>
                <w:rFonts w:ascii="Calibri" w:hAnsi="Calibri"/>
                <w:color w:val="000000"/>
                <w:sz w:val="18"/>
              </w:rPr>
              <w:t>✓ 6</w:t>
            </w:r>
          </w:p>
        </w:tc>
        <w:tc>
          <w:tcPr>
            <w:tcW w:type="dxa" w:w="2500"/>
            <w:shd w:fill="EAF4EA"/>
            <w:tcMar>
              <w:top w:w="80" w:type="dxa"/>
              <w:start w:w="120" w:type="dxa"/>
              <w:bottom w:w="80" w:type="dxa"/>
              <w:end w:w="120" w:type="dxa"/>
            </w:tcMar>
            <w:vAlign w:val="center"/>
          </w:tcPr>
          <w:p>
            <w:pPr>
              <w:spacing w:before="0" w:after="0" w:line="252" w:lineRule="auto"/>
              <w:jc w:val="left"/>
            </w:pPr>
            <w:r>
              <w:rPr>
                <w:rFonts w:ascii="Calibri" w:hAnsi="Calibri"/>
                <w:color w:val="000000"/>
                <w:sz w:val="18"/>
              </w:rPr>
              <w:t>Počáteční kouzla</w:t>
            </w:r>
          </w:p>
        </w:tc>
        <w:tc>
          <w:tcPr>
            <w:tcW w:type="dxa" w:w="6160"/>
            <w:shd w:fill="EAF4EA"/>
            <w:tcMar>
              <w:top w:w="80" w:type="dxa"/>
              <w:start w:w="120" w:type="dxa"/>
              <w:bottom w:w="80" w:type="dxa"/>
              <w:end w:w="120" w:type="dxa"/>
            </w:tcMar>
            <w:vAlign w:val="center"/>
          </w:tcPr>
          <w:p>
            <w:pPr>
              <w:spacing w:before="0" w:after="0" w:line="252" w:lineRule="auto"/>
              <w:jc w:val="left"/>
            </w:pPr>
            <w:r>
              <w:rPr>
                <w:rFonts w:ascii="Calibri" w:hAnsi="Calibri"/>
                <w:color w:val="000000"/>
                <w:sz w:val="18"/>
              </w:rPr>
              <w:t>Kouzelník 5, Léčitel 4, ostatní povolání 0.</w:t>
            </w:r>
          </w:p>
        </w:tc>
      </w:tr>
    </w:tbl>
    <w:tbl>
      <w:tblPr>
        <w:tblW w:type="dxa" w:w="9360"/>
        <w:jc w:val="left"/>
        <w:tblLayout w:type="fixed"/>
        <w:tblLook w:firstColumn="1" w:firstRow="1" w:lastColumn="0" w:lastRow="0" w:noHBand="0" w:noVBand="1" w:val="04A0"/>
        <w:tblInd w:w="120" w:type="dxa"/>
        <w:tblBorders>
          <w:top w:val="single" w:sz="5" w:space="0" w:color="7FA37F"/>
          <w:left w:val="single" w:sz="5" w:space="0" w:color="7FA37F"/>
          <w:bottom w:val="single" w:sz="5" w:space="0" w:color="7FA37F"/>
          <w:right w:val="single" w:sz="5" w:space="0" w:color="7FA37F"/>
          <w:insideH w:val="single" w:sz="5" w:space="0" w:color="7FA37F"/>
          <w:insideV w:val="single" w:sz="5" w:space="0" w:color="7FA37F"/>
        </w:tblBorders>
      </w:tblPr>
      <w:tblGrid>
        <w:gridCol w:w="9360"/>
      </w:tblGrid>
      <w:tr>
        <w:tc>
          <w:tcPr>
            <w:tcW w:type="dxa" w:w="9360"/>
            <w:shd w:fill="EAF4EA"/>
            <w:tcMar>
              <w:top w:w="130" w:type="dxa"/>
              <w:start w:w="180" w:type="dxa"/>
              <w:bottom w:w="130" w:type="dxa"/>
              <w:end w:w="180" w:type="dxa"/>
            </w:tcMar>
          </w:tcPr>
          <w:p>
            <w:pPr>
              <w:spacing w:after="0" w:line="288" w:lineRule="auto"/>
            </w:pPr>
            <w:r>
              <w:rPr>
                <w:rFonts w:ascii="Calibri" w:hAnsi="Calibri"/>
                <w:b/>
                <w:color w:val="18324A"/>
                <w:sz w:val="21"/>
              </w:rPr>
              <w:t xml:space="preserve">Uzavřený dřívější rozpor: </w:t>
            </w:r>
            <w:r>
              <w:rPr>
                <w:rFonts w:ascii="Calibri" w:hAnsi="Calibri"/>
                <w:color w:val="000000"/>
                <w:sz w:val="21"/>
              </w:rPr>
              <w:t>Min. Levely se neruší. Schválené levelování (+1 do vlastnosti za Level, maximum 20, hratelné Levely 1–99) již umožňuje dosáhnout CH 11–18 i vysokých Levelů Hvězdné magie. Staré pravidlo maxima vlastnosti 10 je překonané.</w:t>
            </w:r>
          </w:p>
        </w:tc>
      </w:tr>
    </w:tbl>
    <w:p>
      <w:pPr>
        <w:spacing w:after="20"/>
      </w:pPr>
    </w:p>
    <w:p>
      <w:pPr>
        <w:pStyle w:val="Heading1"/>
      </w:pPr>
      <w:r>
        <w:t>8. Rychlá reference pro Vaelora</w:t>
      </w:r>
    </w:p>
    <w:tbl>
      <w:tblPr>
        <w:tblW w:type="dxa" w:w="9360"/>
        <w:jc w:val="left"/>
        <w:tblLayout w:type="fixed"/>
        <w:tblLook w:firstColumn="1" w:firstRow="1" w:lastColumn="0" w:lastRow="0" w:noHBand="0" w:noVBand="1" w:val="04A0"/>
        <w:tblInd w:w="120" w:type="dxa"/>
        <w:tblBorders>
          <w:top w:val="single" w:sz="5" w:space="0" w:color="7FA37F"/>
          <w:left w:val="single" w:sz="5" w:space="0" w:color="7FA37F"/>
          <w:bottom w:val="single" w:sz="5" w:space="0" w:color="7FA37F"/>
          <w:right w:val="single" w:sz="5" w:space="0" w:color="7FA37F"/>
          <w:insideH w:val="single" w:sz="5" w:space="0" w:color="7FA37F"/>
          <w:insideV w:val="single" w:sz="5" w:space="0" w:color="7FA37F"/>
        </w:tblBorders>
      </w:tblPr>
      <w:tblGrid>
        <w:gridCol w:w="9360"/>
      </w:tblGrid>
      <w:tr>
        <w:tc>
          <w:tcPr>
            <w:tcW w:type="dxa" w:w="9360"/>
            <w:shd w:fill="EAF4EA"/>
            <w:tcMar>
              <w:top w:w="130" w:type="dxa"/>
              <w:start w:w="180" w:type="dxa"/>
              <w:bottom w:w="130" w:type="dxa"/>
              <w:end w:w="180" w:type="dxa"/>
            </w:tcMar>
          </w:tcPr>
          <w:p>
            <w:pPr>
              <w:spacing w:after="0" w:line="288" w:lineRule="auto"/>
            </w:pPr>
            <w:r>
              <w:rPr>
                <w:rFonts w:ascii="Calibri" w:hAnsi="Calibri"/>
                <w:b/>
                <w:color w:val="18324A"/>
                <w:sz w:val="21"/>
              </w:rPr>
              <w:t xml:space="preserve">Důležité pro hraní: </w:t>
            </w:r>
            <w:r>
              <w:rPr>
                <w:rFonts w:ascii="Calibri" w:hAnsi="Calibri"/>
                <w:color w:val="000000"/>
                <w:sz w:val="21"/>
              </w:rPr>
              <w:t>Vaelor používá pravidla níže a přesné řádky katalogu. Všechny společné mechaniky základní verze jsou uzavřené; nové hráčské kouzlo vždy připodobní k nejbližší referenci a nesmí je svévolně zesílit.</w:t>
            </w:r>
          </w:p>
        </w:tc>
      </w:tr>
    </w:tbl>
    <w:p>
      <w:pPr>
        <w:spacing w:after="20"/>
      </w:pPr>
    </w:p>
    <w:p>
      <w:pPr>
        <w:pStyle w:val="Heading2"/>
      </w:pPr>
      <w:r>
        <w:t>Magický útok a obrana</w:t>
      </w:r>
    </w:p>
    <w:p>
      <w:pPr>
        <w:pStyle w:val="ListBullet"/>
        <w:spacing w:after="40" w:line="259" w:lineRule="auto"/>
      </w:pPr>
      <w:r>
        <w:rPr>
          <w:rFonts w:ascii="Calibri" w:hAnsi="Calibri"/>
          <w:color w:val="000000"/>
          <w:sz w:val="18"/>
        </w:rPr>
        <w:t>BŠ = zaokrouhlení Š / 3 nahoru.</w:t>
      </w:r>
    </w:p>
    <w:p>
      <w:pPr>
        <w:pStyle w:val="ListBullet"/>
        <w:spacing w:after="40" w:line="259" w:lineRule="auto"/>
      </w:pPr>
      <w:r>
        <w:rPr>
          <w:rFonts w:ascii="Calibri" w:hAnsi="Calibri"/>
          <w:color w:val="000000"/>
          <w:sz w:val="18"/>
        </w:rPr>
        <w:t>Upravený bonus kouzla = bonus kouzla × koeficient Magie povolání; zaokrouhlení na nejbližší celé číslo, 0,5 nahoru.</w:t>
      </w:r>
    </w:p>
    <w:p>
      <w:pPr>
        <w:pStyle w:val="ListBullet"/>
        <w:spacing w:after="40" w:line="259" w:lineRule="auto"/>
      </w:pPr>
      <w:r>
        <w:rPr>
          <w:rFonts w:ascii="Calibri" w:hAnsi="Calibri"/>
          <w:color w:val="000000"/>
          <w:sz w:val="18"/>
        </w:rPr>
        <w:t>MÚ = CH + upravený bonus kouzla + BŠ + součet použitelných předmětových bonusů +MÚ.</w:t>
      </w:r>
    </w:p>
    <w:p>
      <w:pPr>
        <w:pStyle w:val="ListBullet"/>
        <w:spacing w:after="40" w:line="259" w:lineRule="auto"/>
      </w:pPr>
      <w:r>
        <w:rPr>
          <w:rFonts w:ascii="Calibri" w:hAnsi="Calibri"/>
          <w:color w:val="000000"/>
          <w:sz w:val="18"/>
        </w:rPr>
        <w:t>MAGICKÝ ÚTOK = MÚ + bonus virtuálního hodu.</w:t>
      </w:r>
    </w:p>
    <w:p>
      <w:pPr>
        <w:pStyle w:val="ListBullet"/>
        <w:spacing w:after="40" w:line="259" w:lineRule="auto"/>
      </w:pPr>
      <w:r>
        <w:rPr>
          <w:rFonts w:ascii="Calibri" w:hAnsi="Calibri"/>
          <w:color w:val="000000"/>
          <w:sz w:val="18"/>
        </w:rPr>
        <w:t>MO = CH + BŠ + bonus magické ochrany.</w:t>
      </w:r>
    </w:p>
    <w:p>
      <w:pPr>
        <w:pStyle w:val="ListBullet"/>
        <w:spacing w:after="40" w:line="259" w:lineRule="auto"/>
      </w:pPr>
      <w:r>
        <w:rPr>
          <w:rFonts w:ascii="Calibri" w:hAnsi="Calibri"/>
          <w:color w:val="000000"/>
          <w:sz w:val="18"/>
        </w:rPr>
        <w:t>MAGICKÁ OBRANA = MO + bonus virtuálního hodu.</w:t>
      </w:r>
    </w:p>
    <w:p>
      <w:pPr>
        <w:pStyle w:val="ListBullet"/>
        <w:spacing w:after="40" w:line="259" w:lineRule="auto"/>
      </w:pPr>
      <w:r>
        <w:rPr>
          <w:rFonts w:ascii="Calibri" w:hAnsi="Calibri"/>
          <w:color w:val="000000"/>
          <w:sz w:val="18"/>
        </w:rPr>
        <w:t>Magické zranění = MAGICKÝ ÚTOK − MAGICKÁ OBRANA; výsledek 0 nebo méně znamená 0 zranění.</w:t>
      </w:r>
    </w:p>
    <w:p>
      <w:pPr>
        <w:pStyle w:val="Heading2"/>
      </w:pPr>
      <w:r>
        <w:t>Koeficienty</w:t>
      </w:r>
    </w:p>
    <w:tbl>
      <w:tblPr>
        <w:tblW w:type="dxa" w:w="9360"/>
        <w:jc w:val="left"/>
        <w:tblLayout w:type="fixed"/>
        <w:tblLook w:firstColumn="1" w:firstRow="1" w:lastColumn="0" w:lastRow="0" w:noHBand="0" w:noVBand="1" w:val="04A0"/>
        <w:tblInd w:w="120" w:type="dxa"/>
        <w:tblBorders>
          <w:top w:val="single" w:sz="4" w:space="0" w:color="AAB7C4"/>
          <w:left w:val="single" w:sz="4" w:space="0" w:color="AAB7C4"/>
          <w:bottom w:val="single" w:sz="4" w:space="0" w:color="AAB7C4"/>
          <w:right w:val="single" w:sz="4" w:space="0" w:color="AAB7C4"/>
          <w:insideH w:val="single" w:sz="4" w:space="0" w:color="AAB7C4"/>
          <w:insideV w:val="single" w:sz="4" w:space="0" w:color="AAB7C4"/>
        </w:tblBorders>
      </w:tblPr>
      <w:tblGrid>
        <w:gridCol w:w="3300"/>
        <w:gridCol w:w="3030"/>
        <w:gridCol w:w="3030"/>
      </w:tblGrid>
      <w:tr>
        <w:trPr>
          <w:tblHeader w:val="true"/>
          <w:cantSplit/>
        </w:trPr>
        <w:tc>
          <w:tcPr>
            <w:tcW w:type="dxa" w:w="3300"/>
            <w:shd w:fill="E8EEF5"/>
            <w:tcMar>
              <w:top w:w="80" w:type="dxa"/>
              <w:start w:w="120" w:type="dxa"/>
              <w:bottom w:w="80" w:type="dxa"/>
              <w:end w:w="120" w:type="dxa"/>
            </w:tcMar>
            <w:vAlign w:val="center"/>
          </w:tcPr>
          <w:p>
            <w:pPr>
              <w:spacing w:before="0" w:after="0" w:line="240" w:lineRule="auto"/>
              <w:jc w:val="left"/>
            </w:pPr>
            <w:r>
              <w:rPr>
                <w:rFonts w:ascii="Calibri" w:hAnsi="Calibri"/>
                <w:b/>
                <w:color w:val="18324A"/>
                <w:sz w:val="16"/>
              </w:rPr>
              <w:t>Povolání</w:t>
            </w:r>
          </w:p>
        </w:tc>
        <w:tc>
          <w:tcPr>
            <w:tcW w:type="dxa" w:w="3030"/>
            <w:shd w:fill="E8EEF5"/>
            <w:tcMar>
              <w:top w:w="80" w:type="dxa"/>
              <w:start w:w="120" w:type="dxa"/>
              <w:bottom w:w="80" w:type="dxa"/>
              <w:end w:w="120" w:type="dxa"/>
            </w:tcMar>
            <w:vAlign w:val="center"/>
          </w:tcPr>
          <w:p>
            <w:pPr>
              <w:spacing w:before="0" w:after="0" w:line="240" w:lineRule="auto"/>
              <w:jc w:val="center"/>
            </w:pPr>
            <w:r>
              <w:rPr>
                <w:rFonts w:ascii="Calibri" w:hAnsi="Calibri"/>
                <w:b/>
                <w:color w:val="18324A"/>
                <w:sz w:val="16"/>
              </w:rPr>
              <w:t>Magie</w:t>
            </w:r>
          </w:p>
        </w:tc>
        <w:tc>
          <w:tcPr>
            <w:tcW w:type="dxa" w:w="3030"/>
            <w:shd w:fill="E8EEF5"/>
            <w:tcMar>
              <w:top w:w="80" w:type="dxa"/>
              <w:start w:w="120" w:type="dxa"/>
              <w:bottom w:w="80" w:type="dxa"/>
              <w:end w:w="120" w:type="dxa"/>
            </w:tcMar>
            <w:vAlign w:val="center"/>
          </w:tcPr>
          <w:p>
            <w:pPr>
              <w:spacing w:before="0" w:after="0" w:line="240" w:lineRule="auto"/>
              <w:jc w:val="center"/>
            </w:pPr>
            <w:r>
              <w:rPr>
                <w:rFonts w:ascii="Calibri" w:hAnsi="Calibri"/>
                <w:b/>
                <w:color w:val="18324A"/>
                <w:sz w:val="16"/>
              </w:rPr>
              <w:t>Léčení</w:t>
            </w:r>
          </w:p>
        </w:tc>
      </w:tr>
      <w:tr>
        <w:trPr>
          <w:cantSplit/>
        </w:trPr>
        <w:tc>
          <w:tcPr>
            <w:tcW w:type="dxa" w:w="3300"/>
            <w:tcMar>
              <w:top w:w="80" w:type="dxa"/>
              <w:start w:w="120" w:type="dxa"/>
              <w:bottom w:w="80" w:type="dxa"/>
              <w:end w:w="120" w:type="dxa"/>
            </w:tcMar>
            <w:vAlign w:val="center"/>
          </w:tcPr>
          <w:p>
            <w:pPr>
              <w:spacing w:before="0" w:after="0" w:line="252" w:lineRule="auto"/>
              <w:jc w:val="left"/>
            </w:pPr>
            <w:r>
              <w:rPr>
                <w:rFonts w:ascii="Calibri" w:hAnsi="Calibri"/>
                <w:color w:val="000000"/>
                <w:sz w:val="17"/>
              </w:rPr>
              <w:t>Kouzelník</w:t>
            </w:r>
          </w:p>
        </w:tc>
        <w:tc>
          <w:tcPr>
            <w:tcW w:type="dxa" w:w="3030"/>
            <w:tcMar>
              <w:top w:w="80" w:type="dxa"/>
              <w:start w:w="120" w:type="dxa"/>
              <w:bottom w:w="80" w:type="dxa"/>
              <w:end w:w="120" w:type="dxa"/>
            </w:tcMar>
            <w:vAlign w:val="center"/>
          </w:tcPr>
          <w:p>
            <w:pPr>
              <w:spacing w:before="0" w:after="0" w:line="252" w:lineRule="auto"/>
              <w:jc w:val="center"/>
            </w:pPr>
            <w:r>
              <w:rPr>
                <w:rFonts w:ascii="Calibri" w:hAnsi="Calibri"/>
                <w:color w:val="000000"/>
                <w:sz w:val="17"/>
              </w:rPr>
              <w:t>1,00</w:t>
            </w:r>
          </w:p>
        </w:tc>
        <w:tc>
          <w:tcPr>
            <w:tcW w:type="dxa" w:w="3030"/>
            <w:tcMar>
              <w:top w:w="80" w:type="dxa"/>
              <w:start w:w="120" w:type="dxa"/>
              <w:bottom w:w="80" w:type="dxa"/>
              <w:end w:w="120" w:type="dxa"/>
            </w:tcMar>
            <w:vAlign w:val="center"/>
          </w:tcPr>
          <w:p>
            <w:pPr>
              <w:spacing w:before="0" w:after="0" w:line="252" w:lineRule="auto"/>
              <w:jc w:val="center"/>
            </w:pPr>
            <w:r>
              <w:rPr>
                <w:rFonts w:ascii="Calibri" w:hAnsi="Calibri"/>
                <w:color w:val="000000"/>
                <w:sz w:val="17"/>
              </w:rPr>
              <w:t>0,50</w:t>
            </w:r>
          </w:p>
        </w:tc>
      </w:tr>
      <w:tr>
        <w:trPr>
          <w:cantSplit/>
        </w:trPr>
        <w:tc>
          <w:tcPr>
            <w:tcW w:type="dxa" w:w="3300"/>
            <w:tcMar>
              <w:top w:w="80" w:type="dxa"/>
              <w:start w:w="120" w:type="dxa"/>
              <w:bottom w:w="80" w:type="dxa"/>
              <w:end w:w="120" w:type="dxa"/>
            </w:tcMar>
            <w:vAlign w:val="center"/>
          </w:tcPr>
          <w:p>
            <w:pPr>
              <w:spacing w:before="0" w:after="0" w:line="252" w:lineRule="auto"/>
              <w:jc w:val="left"/>
            </w:pPr>
            <w:r>
              <w:rPr>
                <w:rFonts w:ascii="Calibri" w:hAnsi="Calibri"/>
                <w:color w:val="000000"/>
                <w:sz w:val="17"/>
              </w:rPr>
              <w:t>Hraničář</w:t>
            </w:r>
          </w:p>
        </w:tc>
        <w:tc>
          <w:tcPr>
            <w:tcW w:type="dxa" w:w="3030"/>
            <w:tcMar>
              <w:top w:w="80" w:type="dxa"/>
              <w:start w:w="120" w:type="dxa"/>
              <w:bottom w:w="80" w:type="dxa"/>
              <w:end w:w="120" w:type="dxa"/>
            </w:tcMar>
            <w:vAlign w:val="center"/>
          </w:tcPr>
          <w:p>
            <w:pPr>
              <w:spacing w:before="0" w:after="0" w:line="252" w:lineRule="auto"/>
              <w:jc w:val="center"/>
            </w:pPr>
            <w:r>
              <w:rPr>
                <w:rFonts w:ascii="Calibri" w:hAnsi="Calibri"/>
                <w:color w:val="000000"/>
                <w:sz w:val="17"/>
              </w:rPr>
              <w:t>0,75</w:t>
            </w:r>
          </w:p>
        </w:tc>
        <w:tc>
          <w:tcPr>
            <w:tcW w:type="dxa" w:w="3030"/>
            <w:tcMar>
              <w:top w:w="80" w:type="dxa"/>
              <w:start w:w="120" w:type="dxa"/>
              <w:bottom w:w="80" w:type="dxa"/>
              <w:end w:w="120" w:type="dxa"/>
            </w:tcMar>
            <w:vAlign w:val="center"/>
          </w:tcPr>
          <w:p>
            <w:pPr>
              <w:spacing w:before="0" w:after="0" w:line="252" w:lineRule="auto"/>
              <w:jc w:val="center"/>
            </w:pPr>
            <w:r>
              <w:rPr>
                <w:rFonts w:ascii="Calibri" w:hAnsi="Calibri"/>
                <w:color w:val="000000"/>
                <w:sz w:val="17"/>
              </w:rPr>
              <w:t>0,75</w:t>
            </w:r>
          </w:p>
        </w:tc>
      </w:tr>
      <w:tr>
        <w:trPr>
          <w:cantSplit/>
        </w:trPr>
        <w:tc>
          <w:tcPr>
            <w:tcW w:type="dxa" w:w="3300"/>
            <w:tcMar>
              <w:top w:w="80" w:type="dxa"/>
              <w:start w:w="120" w:type="dxa"/>
              <w:bottom w:w="80" w:type="dxa"/>
              <w:end w:w="120" w:type="dxa"/>
            </w:tcMar>
            <w:vAlign w:val="center"/>
          </w:tcPr>
          <w:p>
            <w:pPr>
              <w:spacing w:before="0" w:after="0" w:line="252" w:lineRule="auto"/>
              <w:jc w:val="left"/>
            </w:pPr>
            <w:r>
              <w:rPr>
                <w:rFonts w:ascii="Calibri" w:hAnsi="Calibri"/>
                <w:color w:val="000000"/>
                <w:sz w:val="17"/>
              </w:rPr>
              <w:t>Léčitel</w:t>
            </w:r>
          </w:p>
        </w:tc>
        <w:tc>
          <w:tcPr>
            <w:tcW w:type="dxa" w:w="3030"/>
            <w:tcMar>
              <w:top w:w="80" w:type="dxa"/>
              <w:start w:w="120" w:type="dxa"/>
              <w:bottom w:w="80" w:type="dxa"/>
              <w:end w:w="120" w:type="dxa"/>
            </w:tcMar>
            <w:vAlign w:val="center"/>
          </w:tcPr>
          <w:p>
            <w:pPr>
              <w:spacing w:before="0" w:after="0" w:line="252" w:lineRule="auto"/>
              <w:jc w:val="center"/>
            </w:pPr>
            <w:r>
              <w:rPr>
                <w:rFonts w:ascii="Calibri" w:hAnsi="Calibri"/>
                <w:color w:val="000000"/>
                <w:sz w:val="17"/>
              </w:rPr>
              <w:t>0,75</w:t>
            </w:r>
          </w:p>
        </w:tc>
        <w:tc>
          <w:tcPr>
            <w:tcW w:type="dxa" w:w="3030"/>
            <w:tcMar>
              <w:top w:w="80" w:type="dxa"/>
              <w:start w:w="120" w:type="dxa"/>
              <w:bottom w:w="80" w:type="dxa"/>
              <w:end w:w="120" w:type="dxa"/>
            </w:tcMar>
            <w:vAlign w:val="center"/>
          </w:tcPr>
          <w:p>
            <w:pPr>
              <w:spacing w:before="0" w:after="0" w:line="252" w:lineRule="auto"/>
              <w:jc w:val="center"/>
            </w:pPr>
            <w:r>
              <w:rPr>
                <w:rFonts w:ascii="Calibri" w:hAnsi="Calibri"/>
                <w:color w:val="000000"/>
                <w:sz w:val="17"/>
              </w:rPr>
              <w:t>1,00</w:t>
            </w:r>
          </w:p>
        </w:tc>
      </w:tr>
      <w:tr>
        <w:trPr>
          <w:cantSplit/>
        </w:trPr>
        <w:tc>
          <w:tcPr>
            <w:tcW w:type="dxa" w:w="3300"/>
            <w:tcMar>
              <w:top w:w="80" w:type="dxa"/>
              <w:start w:w="120" w:type="dxa"/>
              <w:bottom w:w="80" w:type="dxa"/>
              <w:end w:w="120" w:type="dxa"/>
            </w:tcMar>
            <w:vAlign w:val="center"/>
          </w:tcPr>
          <w:p>
            <w:pPr>
              <w:spacing w:before="0" w:after="0" w:line="252" w:lineRule="auto"/>
              <w:jc w:val="left"/>
            </w:pPr>
            <w:r>
              <w:rPr>
                <w:rFonts w:ascii="Calibri" w:hAnsi="Calibri"/>
                <w:color w:val="000000"/>
                <w:sz w:val="17"/>
              </w:rPr>
              <w:t>Zloděj</w:t>
            </w:r>
          </w:p>
        </w:tc>
        <w:tc>
          <w:tcPr>
            <w:tcW w:type="dxa" w:w="3030"/>
            <w:tcMar>
              <w:top w:w="80" w:type="dxa"/>
              <w:start w:w="120" w:type="dxa"/>
              <w:bottom w:w="80" w:type="dxa"/>
              <w:end w:w="120" w:type="dxa"/>
            </w:tcMar>
            <w:vAlign w:val="center"/>
          </w:tcPr>
          <w:p>
            <w:pPr>
              <w:spacing w:before="0" w:after="0" w:line="252" w:lineRule="auto"/>
              <w:jc w:val="center"/>
            </w:pPr>
            <w:r>
              <w:rPr>
                <w:rFonts w:ascii="Calibri" w:hAnsi="Calibri"/>
                <w:color w:val="000000"/>
                <w:sz w:val="17"/>
              </w:rPr>
              <w:t>0,50</w:t>
            </w:r>
          </w:p>
        </w:tc>
        <w:tc>
          <w:tcPr>
            <w:tcW w:type="dxa" w:w="3030"/>
            <w:tcMar>
              <w:top w:w="80" w:type="dxa"/>
              <w:start w:w="120" w:type="dxa"/>
              <w:bottom w:w="80" w:type="dxa"/>
              <w:end w:w="120" w:type="dxa"/>
            </w:tcMar>
            <w:vAlign w:val="center"/>
          </w:tcPr>
          <w:p>
            <w:pPr>
              <w:spacing w:before="0" w:after="0" w:line="252" w:lineRule="auto"/>
              <w:jc w:val="center"/>
            </w:pPr>
            <w:r>
              <w:rPr>
                <w:rFonts w:ascii="Calibri" w:hAnsi="Calibri"/>
                <w:color w:val="000000"/>
                <w:sz w:val="17"/>
              </w:rPr>
              <w:t>0,25</w:t>
            </w:r>
          </w:p>
        </w:tc>
      </w:tr>
      <w:tr>
        <w:trPr>
          <w:cantSplit/>
        </w:trPr>
        <w:tc>
          <w:tcPr>
            <w:tcW w:type="dxa" w:w="3300"/>
            <w:tcMar>
              <w:top w:w="80" w:type="dxa"/>
              <w:start w:w="120" w:type="dxa"/>
              <w:bottom w:w="80" w:type="dxa"/>
              <w:end w:w="120" w:type="dxa"/>
            </w:tcMar>
            <w:vAlign w:val="center"/>
          </w:tcPr>
          <w:p>
            <w:pPr>
              <w:spacing w:before="0" w:after="0" w:line="252" w:lineRule="auto"/>
              <w:jc w:val="left"/>
            </w:pPr>
            <w:r>
              <w:rPr>
                <w:rFonts w:ascii="Calibri" w:hAnsi="Calibri"/>
                <w:color w:val="000000"/>
                <w:sz w:val="17"/>
              </w:rPr>
              <w:t>Bard</w:t>
            </w:r>
          </w:p>
        </w:tc>
        <w:tc>
          <w:tcPr>
            <w:tcW w:type="dxa" w:w="3030"/>
            <w:tcMar>
              <w:top w:w="80" w:type="dxa"/>
              <w:start w:w="120" w:type="dxa"/>
              <w:bottom w:w="80" w:type="dxa"/>
              <w:end w:w="120" w:type="dxa"/>
            </w:tcMar>
            <w:vAlign w:val="center"/>
          </w:tcPr>
          <w:p>
            <w:pPr>
              <w:spacing w:before="0" w:after="0" w:line="252" w:lineRule="auto"/>
              <w:jc w:val="center"/>
            </w:pPr>
            <w:r>
              <w:rPr>
                <w:rFonts w:ascii="Calibri" w:hAnsi="Calibri"/>
                <w:color w:val="000000"/>
                <w:sz w:val="17"/>
              </w:rPr>
              <w:t>0,50</w:t>
            </w:r>
          </w:p>
        </w:tc>
        <w:tc>
          <w:tcPr>
            <w:tcW w:type="dxa" w:w="3030"/>
            <w:tcMar>
              <w:top w:w="80" w:type="dxa"/>
              <w:start w:w="120" w:type="dxa"/>
              <w:bottom w:w="80" w:type="dxa"/>
              <w:end w:w="120" w:type="dxa"/>
            </w:tcMar>
            <w:vAlign w:val="center"/>
          </w:tcPr>
          <w:p>
            <w:pPr>
              <w:spacing w:before="0" w:after="0" w:line="252" w:lineRule="auto"/>
              <w:jc w:val="center"/>
            </w:pPr>
            <w:r>
              <w:rPr>
                <w:rFonts w:ascii="Calibri" w:hAnsi="Calibri"/>
                <w:color w:val="000000"/>
                <w:sz w:val="17"/>
              </w:rPr>
              <w:t>0,50</w:t>
            </w:r>
          </w:p>
        </w:tc>
      </w:tr>
      <w:tr>
        <w:trPr>
          <w:cantSplit/>
        </w:trPr>
        <w:tc>
          <w:tcPr>
            <w:tcW w:type="dxa" w:w="3300"/>
            <w:tcMar>
              <w:top w:w="80" w:type="dxa"/>
              <w:start w:w="120" w:type="dxa"/>
              <w:bottom w:w="80" w:type="dxa"/>
              <w:end w:w="120" w:type="dxa"/>
            </w:tcMar>
            <w:vAlign w:val="center"/>
          </w:tcPr>
          <w:p>
            <w:pPr>
              <w:spacing w:before="0" w:after="0" w:line="252" w:lineRule="auto"/>
              <w:jc w:val="left"/>
            </w:pPr>
            <w:r>
              <w:rPr>
                <w:rFonts w:ascii="Calibri" w:hAnsi="Calibri"/>
                <w:color w:val="000000"/>
                <w:sz w:val="17"/>
              </w:rPr>
              <w:t>Bojovník</w:t>
            </w:r>
          </w:p>
        </w:tc>
        <w:tc>
          <w:tcPr>
            <w:tcW w:type="dxa" w:w="3030"/>
            <w:tcMar>
              <w:top w:w="80" w:type="dxa"/>
              <w:start w:w="120" w:type="dxa"/>
              <w:bottom w:w="80" w:type="dxa"/>
              <w:end w:w="120" w:type="dxa"/>
            </w:tcMar>
            <w:vAlign w:val="center"/>
          </w:tcPr>
          <w:p>
            <w:pPr>
              <w:spacing w:before="0" w:after="0" w:line="252" w:lineRule="auto"/>
              <w:jc w:val="center"/>
            </w:pPr>
            <w:r>
              <w:rPr>
                <w:rFonts w:ascii="Calibri" w:hAnsi="Calibri"/>
                <w:color w:val="000000"/>
                <w:sz w:val="17"/>
              </w:rPr>
              <w:t>0,25</w:t>
            </w:r>
          </w:p>
        </w:tc>
        <w:tc>
          <w:tcPr>
            <w:tcW w:type="dxa" w:w="3030"/>
            <w:tcMar>
              <w:top w:w="80" w:type="dxa"/>
              <w:start w:w="120" w:type="dxa"/>
              <w:bottom w:w="80" w:type="dxa"/>
              <w:end w:w="120" w:type="dxa"/>
            </w:tcMar>
            <w:vAlign w:val="center"/>
          </w:tcPr>
          <w:p>
            <w:pPr>
              <w:spacing w:before="0" w:after="0" w:line="252" w:lineRule="auto"/>
              <w:jc w:val="center"/>
            </w:pPr>
            <w:r>
              <w:rPr>
                <w:rFonts w:ascii="Calibri" w:hAnsi="Calibri"/>
                <w:color w:val="000000"/>
                <w:sz w:val="17"/>
              </w:rPr>
              <w:t>0,25</w:t>
            </w:r>
          </w:p>
        </w:tc>
      </w:tr>
    </w:tbl>
    <w:p>
      <w:pPr>
        <w:pStyle w:val="Heading2"/>
      </w:pPr>
      <w:r>
        <w:t>Společná pravidla</w:t>
      </w:r>
    </w:p>
    <w:p>
      <w:pPr>
        <w:pStyle w:val="ListBullet"/>
        <w:spacing w:after="40" w:line="259" w:lineRule="auto"/>
      </w:pPr>
      <w:r>
        <w:rPr>
          <w:rFonts w:ascii="Calibri" w:hAnsi="Calibri"/>
          <w:color w:val="000000"/>
          <w:sz w:val="18"/>
        </w:rPr>
        <w:t>Plošné kouzlo zasáhne nejvýše 3 cíle. Útočné či ovládací plošné kouzlo používá jeden společný hod MÚ, který se porovná zvlášť s MO každého cíle.</w:t>
      </w:r>
    </w:p>
    <w:p>
      <w:pPr>
        <w:pStyle w:val="ListBullet"/>
        <w:spacing w:after="40" w:line="259" w:lineRule="auto"/>
      </w:pPr>
      <w:r>
        <w:rPr>
          <w:rFonts w:ascii="Calibri" w:hAnsi="Calibri"/>
          <w:color w:val="000000"/>
          <w:sz w:val="18"/>
        </w:rPr>
        <w:t>Ovlivnění neochotného cíle uspěje pouze tehdy, když je MAGICKÝ ÚTOK vyšší než MAGICKÁ OBRANA. Boss použije oslabený účinek z řádku kouzla a nikdy neztratí celý tah ani není automaticky vyřazen.</w:t>
      </w:r>
    </w:p>
    <w:p>
      <w:pPr>
        <w:pStyle w:val="ListBullet"/>
        <w:spacing w:after="40" w:line="259" w:lineRule="auto"/>
      </w:pPr>
      <w:r>
        <w:rPr>
          <w:rFonts w:ascii="Calibri" w:hAnsi="Calibri"/>
          <w:color w:val="000000"/>
          <w:sz w:val="18"/>
        </w:rPr>
        <w:t>Léčení se zaokrouhluje na nejbližší celé číslo, přesně 0,5 nahoru. Každý sesilatel může za souboj seslat nejvýše 1 kouzlo používající koeficient Léčení a obnovující Ž.</w:t>
      </w:r>
    </w:p>
    <w:p>
      <w:pPr>
        <w:pStyle w:val="ListBullet"/>
        <w:spacing w:after="40" w:line="259" w:lineRule="auto"/>
      </w:pPr>
      <w:r>
        <w:rPr>
          <w:rFonts w:ascii="Calibri" w:hAnsi="Calibri"/>
          <w:color w:val="000000"/>
          <w:sz w:val="18"/>
        </w:rPr>
        <w:t>Sesilatel udržuje nejvýše 1 kouzlo se soustředěním; seslání dalšího kouzla je ukončí před vyhodnocením nového kouzla.</w:t>
      </w:r>
    </w:p>
    <w:p>
      <w:pPr>
        <w:pStyle w:val="ListBullet"/>
        <w:spacing w:after="40" w:line="259" w:lineRule="auto"/>
      </w:pPr>
      <w:r>
        <w:rPr>
          <w:rFonts w:ascii="Calibri" w:hAnsi="Calibri"/>
          <w:color w:val="000000"/>
          <w:sz w:val="18"/>
        </w:rPr>
        <w:t>Počáteční kouzla: Kouzelník 5, Léčitel 4, Bojovník, Hraničář, Zloděj a Bard 0.</w:t>
      </w:r>
    </w:p>
    <w:p>
      <w:pPr>
        <w:pStyle w:val="Heading2"/>
      </w:pPr>
      <w:r>
        <w:t>Požadavky a znalost</w:t>
      </w:r>
    </w:p>
    <w:p>
      <w:pPr>
        <w:spacing w:before="0" w:after="80" w:line="269" w:lineRule="auto"/>
      </w:pPr>
      <w:r>
        <w:rPr>
          <w:rFonts w:ascii="Calibri" w:hAnsi="Calibri"/>
          <w:b w:val="0"/>
          <w:color w:val="000000"/>
          <w:sz w:val="19"/>
        </w:rPr>
        <w:t>Postava se může naučit pouze kouzlo, pro které její trvalá CH bez předmětových a dočasných bonusů splňuje Min. CH a pro které splňuje případný Min. Level. Splnění požadavků samo kouzlo nepřidává. Jednou řádně naučené kouzlo zůstává známé a Min. CH se při každém seslání znovu nekontroluje. Min. Level se používá; nebyl později zrušen. Hvězdná magie vždy vyžaduje vysokou trvalou CH, vysoký Level a znalost konkrétního kouzla.</w:t>
      </w:r>
    </w:p>
    <w:p>
      <w:pPr>
        <w:spacing w:before="0" w:after="80" w:line="269" w:lineRule="auto"/>
      </w:pPr>
      <w:r>
        <w:rPr>
          <w:rFonts w:ascii="Calibri" w:hAnsi="Calibri"/>
          <w:b w:val="0"/>
          <w:color w:val="000000"/>
          <w:sz w:val="19"/>
        </w:rPr>
        <w:t>Nové kouzlo lze získat při levelování, od učitele, z knihy, ze svitku, jako odměnu, nálezem nebo příběhovou událostí. Povolání ani tematická afinita nevytvářejí absolutní zákaz a v základní verzi nepřidávají další číselný bonus.</w:t>
      </w:r>
    </w:p>
    <w:p>
      <w:pPr>
        <w:pStyle w:val="Heading2"/>
      </w:pPr>
      <w:r>
        <w:t>Školy</w:t>
      </w:r>
    </w:p>
    <w:p>
      <w:pPr>
        <w:spacing w:before="0" w:after="80" w:line="269" w:lineRule="auto"/>
      </w:pPr>
      <w:r>
        <w:rPr>
          <w:rFonts w:ascii="Calibri" w:hAnsi="Calibri"/>
          <w:b w:val="0"/>
          <w:color w:val="000000"/>
          <w:sz w:val="19"/>
        </w:rPr>
        <w:t>Obecná magie, Oheň, Voda, Vzduch, Země, Mysl, Duch, Světlá magie, Temná magie, Přírodní magie a Hvězdná magie. Teleportace patří do Vzduchu, Telekineze do Mysli. Hvězdná magie je mistrovská; běžná teleportace do ní nepatří. Temná magie není automaticky zlá.</w:t>
      </w:r>
    </w:p>
    <w:p>
      <w:pPr>
        <w:pStyle w:val="Heading2"/>
      </w:pPr>
      <w:r>
        <w:t>Práce s katalogem</w:t>
      </w:r>
    </w:p>
    <w:p>
      <w:pPr>
        <w:spacing w:before="0" w:after="80" w:line="269" w:lineRule="auto"/>
      </w:pPr>
      <w:r>
        <w:rPr>
          <w:rFonts w:ascii="Calibri" w:hAnsi="Calibri"/>
          <w:b w:val="0"/>
          <w:color w:val="000000"/>
          <w:sz w:val="19"/>
        </w:rPr>
        <w:t>Katalog 110 kouzel slouží jako reference AI. Když hráč vymyslí nové kouzlo, Vaelor je přiřadí k nejbližšímu referenčnímu kouzlu a převezme přibližný požadavek CH, Min. Level, bonus, počet cílů, trvání a omezení. Nový efekt nesmí být současně silnější, plošnější a méně omezený než reference.</w:t>
      </w:r>
    </w:p>
    <w:p>
      <w:pPr>
        <w:spacing w:before="0" w:after="80" w:line="269" w:lineRule="auto"/>
      </w:pPr>
      <w:r>
        <w:rPr>
          <w:rFonts w:ascii="Calibri" w:hAnsi="Calibri"/>
          <w:b w:val="0"/>
          <w:color w:val="000000"/>
          <w:sz w:val="19"/>
        </w:rPr>
        <w:t>Dodatečné bonusy všech aktivně vybavených předmětů se sčítají bez pevného limitu; počet aktivních předmětů omezují sloty. +CH zvyšuje MÚ a MO, ale neplní Min. CH pro naučení. +1 k magii školy znamená +1 MÚ dané školy a +1 k léčení znamená +1 Ž k celkovému výsledku jednoho seslání; oba bonusy se přičítají po koeficientu. Předmětové bonusy FO/MO se sčítají s nejvyšším aktivním kouzelným bonusem pro příslušnou obranu; více kouzelných bonusů ke stejné FO nebo MO se nesčítá.</w:t>
      </w:r>
    </w:p>
    <w:tbl>
      <w:tblPr>
        <w:tblW w:type="dxa" w:w="9360"/>
        <w:jc w:val="left"/>
        <w:tblLayout w:type="fixed"/>
        <w:tblLook w:firstColumn="1" w:firstRow="1" w:lastColumn="0" w:lastRow="0" w:noHBand="0" w:noVBand="1" w:val="04A0"/>
        <w:tblInd w:w="120" w:type="dxa"/>
        <w:tblBorders>
          <w:top w:val="single" w:sz="5" w:space="0" w:color="7FA37F"/>
          <w:left w:val="single" w:sz="5" w:space="0" w:color="7FA37F"/>
          <w:bottom w:val="single" w:sz="5" w:space="0" w:color="7FA37F"/>
          <w:right w:val="single" w:sz="5" w:space="0" w:color="7FA37F"/>
          <w:insideH w:val="single" w:sz="5" w:space="0" w:color="7FA37F"/>
          <w:insideV w:val="single" w:sz="5" w:space="0" w:color="7FA37F"/>
        </w:tblBorders>
      </w:tblPr>
      <w:tblGrid>
        <w:gridCol w:w="9360"/>
      </w:tblGrid>
      <w:tr>
        <w:tc>
          <w:tcPr>
            <w:tcW w:type="dxa" w:w="9360"/>
            <w:shd w:fill="EAF4EA"/>
            <w:tcMar>
              <w:top w:w="130" w:type="dxa"/>
              <w:start w:w="180" w:type="dxa"/>
              <w:bottom w:w="130" w:type="dxa"/>
              <w:end w:w="180" w:type="dxa"/>
            </w:tcMar>
          </w:tcPr>
          <w:p>
            <w:pPr>
              <w:spacing w:after="0" w:line="288" w:lineRule="auto"/>
            </w:pPr>
            <w:r>
              <w:rPr>
                <w:rFonts w:ascii="Calibri" w:hAnsi="Calibri"/>
                <w:b/>
                <w:color w:val="18324A"/>
                <w:sz w:val="21"/>
              </w:rPr>
              <w:t xml:space="preserve">STAV: </w:t>
            </w:r>
            <w:r>
              <w:rPr>
                <w:rFonts w:ascii="Calibri" w:hAnsi="Calibri"/>
                <w:color w:val="000000"/>
                <w:sz w:val="21"/>
              </w:rPr>
              <w:t>MAGIE v1.0 JE FINÁLNĚ UZAVŘENA A KOMPATIBILNÍ S CELÝM AI FANTASY ADVENTURE v1.0.</w:t>
            </w:r>
          </w:p>
        </w:tc>
      </w:tr>
    </w:tbl>
    <w:p>
      <w:pPr>
        <w:spacing w:after="20"/>
      </w:pPr>
    </w:p>
    <w:sectPr w:rsidR="00FC693F" w:rsidRPr="0006063C" w:rsidSect="00034616">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spacing w:before="0" w:after="0"/>
      <w:jc w:val="right"/>
    </w:pPr>
    <w:r/>
    <w:r>
      <w:rPr>
        <w:rFonts w:ascii="Calibri" w:hAnsi="Calibri"/>
        <w:color w:val="66727E"/>
        <w:sz w:val="16"/>
      </w:rPr>
      <w:t xml:space="preserve">VinMat  •  verze 1.0 – finální  •  strana </w:t>
    </w:r>
    <w:r>
      <w:rPr>
        <w:rFonts w:ascii="Calibri" w:hAnsi="Calibri"/>
        <w:color w:val="66727E"/>
        <w:sz w:val="16"/>
      </w:rPr>
      <w:fldChar w:fldCharType="begin"/>
      <w:instrText xml:space="preserve">PAGE</w:instrText>
      <w:fldChar w:fldCharType="separate"/>
      <w:t>1</w: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before="0" w:after="0" w:line="240" w:lineRule="auto"/>
      <w:jc w:val="left"/>
    </w:pPr>
    <w:r>
      <w:rPr>
        <w:rFonts w:ascii="Calibri" w:hAnsi="Calibri"/>
        <w:b/>
        <w:color w:val="66727E"/>
        <w:sz w:val="16"/>
      </w:rPr>
      <w:t>AI FANTASY ADVENTURE  •  MAGIE A KATALOG KOUZEL</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before="0" w:after="120" w:line="300" w:lineRule="auto"/>
    </w:pPr>
    <w:rPr>
      <w:rFonts w:ascii="Calibri" w:hAnsi="Calibri"/>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60" w:after="200"/>
      <w:outlineLvl w:val="0"/>
    </w:pPr>
    <w:rPr>
      <w:rFonts w:asciiTheme="majorHAnsi" w:eastAsiaTheme="majorEastAsia" w:hAnsiTheme="majorHAnsi" w:cstheme="majorBidi" w:ascii="Calibri" w:hAnsi="Calibri"/>
      <w:b/>
      <w:bCs/>
      <w:color w:val="2E74B5"/>
      <w:sz w:val="32"/>
      <w:szCs w:val="28"/>
    </w:rPr>
  </w:style>
  <w:style w:type="paragraph" w:styleId="Heading2">
    <w:name w:val="heading 2"/>
    <w:basedOn w:val="Normal"/>
    <w:next w:val="Normal"/>
    <w:link w:val="Heading2Char"/>
    <w:uiPriority w:val="9"/>
    <w:unhideWhenUsed/>
    <w:qFormat/>
    <w:rsid w:val="00FC693F"/>
    <w:pPr>
      <w:keepNext/>
      <w:keepLines/>
      <w:spacing w:before="280" w:after="140"/>
      <w:outlineLvl w:val="1"/>
    </w:pPr>
    <w:rPr>
      <w:rFonts w:asciiTheme="majorHAnsi" w:eastAsiaTheme="majorEastAsia" w:hAnsiTheme="majorHAnsi" w:cstheme="majorBidi" w:ascii="Calibri" w:hAnsi="Calibri"/>
      <w:b/>
      <w:bCs/>
      <w:color w:val="2E74B5"/>
      <w:sz w:val="26"/>
      <w:szCs w:val="26"/>
    </w:rPr>
  </w:style>
  <w:style w:type="paragraph" w:styleId="Heading3">
    <w:name w:val="heading 3"/>
    <w:basedOn w:val="Normal"/>
    <w:next w:val="Normal"/>
    <w:link w:val="Heading3Char"/>
    <w:uiPriority w:val="9"/>
    <w:unhideWhenUsed/>
    <w:qFormat/>
    <w:rsid w:val="00FC693F"/>
    <w:pPr>
      <w:keepNext/>
      <w:keepLines/>
      <w:spacing w:before="200" w:after="100"/>
      <w:outlineLvl w:val="2"/>
    </w:pPr>
    <w:rPr>
      <w:rFonts w:asciiTheme="majorHAnsi" w:eastAsiaTheme="majorEastAsia" w:hAnsiTheme="majorHAnsi" w:cstheme="majorBidi" w:ascii="Calibri" w:hAnsi="Calibri"/>
      <w:b/>
      <w:bCs/>
      <w:color w:val="1F4D78"/>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spacing w:after="80" w:line="300" w:lineRule="auto"/>
      <w:ind w:left="540" w:hanging="271"/>
      <w:contextualSpacing/>
    </w:pPr>
    <w:rPr>
      <w:rFonts w:ascii="Calibri" w:hAnsi="Calibri"/>
      <w:sz w:val="21"/>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spacing w:after="80" w:line="300" w:lineRule="auto"/>
      <w:ind w:left="540" w:hanging="271"/>
      <w:contextualSpacing/>
    </w:pPr>
    <w:rPr>
      <w:rFonts w:ascii="Calibri" w:hAnsi="Calibri"/>
      <w:sz w:val="21"/>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 Fantasy Adventure – Magie a katalog 110 referenčních kouzel v1.0</dc:title>
  <dc:subject>Konsolidace pravidel magie a katalog 110 referenčních kouzel</dc:subject>
  <dc:creator>VinMat</dc:creator>
  <cp:keywords>AI Fantasy Adventure, magie, kouzla, RPG, balancing</cp:keywords>
  <dc:description>Verze 1.0 – finální uzavřená pravidla magie a katalog 110 kouzel</dc:description>
  <cp:lastModifiedBy/>
  <cp:revision>1</cp:revision>
  <dcterms:created xsi:type="dcterms:W3CDTF">2013-12-23T23:15:00Z</dcterms:created>
  <dcterms:modified xsi:type="dcterms:W3CDTF">2013-12-23T23:15:00Z</dcterms:modified>
  <cp:category/>
</cp:coreProperties>
</file>